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B42" w:rsidRPr="00D43B42" w:rsidRDefault="00D43B42" w:rsidP="00D43B42">
      <w:pPr>
        <w:tabs>
          <w:tab w:val="left" w:pos="4890"/>
        </w:tabs>
        <w:jc w:val="center"/>
        <w:rPr>
          <w:sz w:val="44"/>
        </w:rPr>
      </w:pPr>
      <w:r w:rsidRPr="00D43B42">
        <w:rPr>
          <w:sz w:val="44"/>
        </w:rPr>
        <w:drawing>
          <wp:inline distT="0" distB="0" distL="0" distR="0" wp14:anchorId="3A961147" wp14:editId="2A21AD55">
            <wp:extent cx="5400040" cy="869950"/>
            <wp:effectExtent l="0" t="0" r="0" b="6350"/>
            <wp:docPr id="3" name="Imagen 3" descr="Firma 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ma P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869950"/>
                    </a:xfrm>
                    <a:prstGeom prst="rect">
                      <a:avLst/>
                    </a:prstGeom>
                    <a:noFill/>
                    <a:ln>
                      <a:noFill/>
                    </a:ln>
                  </pic:spPr>
                </pic:pic>
              </a:graphicData>
            </a:graphic>
          </wp:inline>
        </w:drawing>
      </w:r>
    </w:p>
    <w:p w:rsidR="00D43B42" w:rsidRPr="00D43B42" w:rsidRDefault="00D43B42" w:rsidP="00D43B42">
      <w:pPr>
        <w:tabs>
          <w:tab w:val="left" w:pos="4890"/>
        </w:tabs>
        <w:jc w:val="center"/>
        <w:rPr>
          <w:sz w:val="44"/>
        </w:rPr>
      </w:pPr>
    </w:p>
    <w:p w:rsidR="00D43B42" w:rsidRPr="00D43B42" w:rsidRDefault="00D43B42" w:rsidP="00D43B42">
      <w:pPr>
        <w:tabs>
          <w:tab w:val="left" w:pos="4890"/>
        </w:tabs>
        <w:jc w:val="center"/>
        <w:rPr>
          <w:sz w:val="44"/>
        </w:rPr>
      </w:pPr>
    </w:p>
    <w:p w:rsidR="00D43B42" w:rsidRPr="00D43B42" w:rsidRDefault="00D43B42" w:rsidP="00D43B42">
      <w:pPr>
        <w:tabs>
          <w:tab w:val="left" w:pos="4890"/>
        </w:tabs>
        <w:jc w:val="center"/>
        <w:rPr>
          <w:sz w:val="44"/>
        </w:rPr>
      </w:pPr>
    </w:p>
    <w:p w:rsidR="00D43B42" w:rsidRPr="00D43B42" w:rsidRDefault="00D43B42" w:rsidP="00D43B42">
      <w:pPr>
        <w:tabs>
          <w:tab w:val="left" w:pos="4890"/>
        </w:tabs>
        <w:jc w:val="center"/>
        <w:rPr>
          <w:sz w:val="44"/>
        </w:rPr>
      </w:pPr>
      <w:r w:rsidRPr="00D43B42">
        <w:rPr>
          <w:sz w:val="44"/>
        </w:rPr>
        <w:t>DOSSIER DE PRENSA</w:t>
      </w:r>
    </w:p>
    <w:p w:rsidR="00D43B42" w:rsidRPr="00D43B42" w:rsidRDefault="00D43B42" w:rsidP="00D43B42">
      <w:pPr>
        <w:tabs>
          <w:tab w:val="left" w:pos="4890"/>
        </w:tabs>
        <w:jc w:val="center"/>
        <w:rPr>
          <w:sz w:val="44"/>
        </w:rPr>
      </w:pPr>
    </w:p>
    <w:p w:rsidR="00D43B42" w:rsidRPr="00D43B42" w:rsidRDefault="00D43B42" w:rsidP="00D43B42">
      <w:pPr>
        <w:tabs>
          <w:tab w:val="left" w:pos="4890"/>
        </w:tabs>
        <w:jc w:val="center"/>
        <w:rPr>
          <w:sz w:val="44"/>
        </w:rPr>
      </w:pPr>
      <w:r w:rsidRPr="00D43B42">
        <w:rPr>
          <w:sz w:val="44"/>
        </w:rPr>
        <w:t>RUEDA DE PRENSA</w:t>
      </w:r>
    </w:p>
    <w:p w:rsidR="00D43B42" w:rsidRPr="00D43B42" w:rsidRDefault="00D43B42" w:rsidP="00D43B42">
      <w:pPr>
        <w:tabs>
          <w:tab w:val="left" w:pos="4890"/>
        </w:tabs>
        <w:jc w:val="center"/>
        <w:rPr>
          <w:sz w:val="44"/>
        </w:rPr>
      </w:pPr>
      <w:r w:rsidRPr="00D43B42">
        <w:rPr>
          <w:sz w:val="44"/>
        </w:rPr>
        <w:t>PLATAFORMA DE ENTIDADES SOCIALES</w:t>
      </w:r>
    </w:p>
    <w:p w:rsidR="00D43B42" w:rsidRDefault="00D43B42" w:rsidP="00D43B42">
      <w:pPr>
        <w:tabs>
          <w:tab w:val="left" w:pos="4890"/>
        </w:tabs>
        <w:jc w:val="center"/>
        <w:rPr>
          <w:sz w:val="44"/>
        </w:rPr>
      </w:pPr>
      <w:r w:rsidRPr="00D43B42">
        <w:rPr>
          <w:sz w:val="44"/>
        </w:rPr>
        <w:t>Pamplona-Iruña, 18 de diciembre de 2017</w:t>
      </w:r>
    </w:p>
    <w:p w:rsidR="00D43B42" w:rsidRDefault="00D43B42" w:rsidP="00D43B42">
      <w:pPr>
        <w:tabs>
          <w:tab w:val="left" w:pos="4890"/>
        </w:tabs>
        <w:jc w:val="center"/>
        <w:rPr>
          <w:sz w:val="44"/>
        </w:rPr>
      </w:pPr>
    </w:p>
    <w:p w:rsidR="00D43B42" w:rsidRDefault="00D43B42" w:rsidP="00D43B42">
      <w:pPr>
        <w:tabs>
          <w:tab w:val="left" w:pos="4890"/>
        </w:tabs>
        <w:jc w:val="center"/>
        <w:rPr>
          <w:sz w:val="44"/>
        </w:rPr>
      </w:pPr>
    </w:p>
    <w:p w:rsidR="00D43B42" w:rsidRDefault="00D43B42" w:rsidP="00D43B42">
      <w:pPr>
        <w:tabs>
          <w:tab w:val="left" w:pos="4890"/>
        </w:tabs>
        <w:jc w:val="both"/>
        <w:rPr>
          <w:sz w:val="44"/>
        </w:rPr>
      </w:pPr>
    </w:p>
    <w:p w:rsidR="00D43B42" w:rsidRPr="00D43B42" w:rsidRDefault="00D43B42" w:rsidP="00D43B42">
      <w:pPr>
        <w:tabs>
          <w:tab w:val="left" w:pos="4890"/>
        </w:tabs>
        <w:jc w:val="both"/>
      </w:pPr>
      <w:r w:rsidRPr="00D43B42">
        <w:t>La Plataforma de Entidades Sociales (PES) está compuesta por las siguient</w:t>
      </w:r>
      <w:r w:rsidRPr="00D43B42">
        <w:t xml:space="preserve">es redes: </w:t>
      </w:r>
    </w:p>
    <w:p w:rsidR="00D43B42" w:rsidRPr="00D43B42" w:rsidRDefault="00D43B42" w:rsidP="00D43B42">
      <w:pPr>
        <w:pStyle w:val="Prrafodelista"/>
        <w:numPr>
          <w:ilvl w:val="0"/>
          <w:numId w:val="3"/>
        </w:numPr>
        <w:tabs>
          <w:tab w:val="left" w:pos="4890"/>
        </w:tabs>
        <w:jc w:val="both"/>
      </w:pPr>
      <w:r w:rsidRPr="00D43B42">
        <w:t>Coordinadora de ONGD de Navarra / Nafarroako GGDEen Koordinakundea (CONGDN)</w:t>
      </w:r>
    </w:p>
    <w:p w:rsidR="00D43B42" w:rsidRPr="00D43B42" w:rsidRDefault="00D43B42" w:rsidP="00D43B42">
      <w:pPr>
        <w:pStyle w:val="Prrafodelista"/>
        <w:numPr>
          <w:ilvl w:val="0"/>
          <w:numId w:val="3"/>
        </w:numPr>
        <w:tabs>
          <w:tab w:val="left" w:pos="4890"/>
        </w:tabs>
        <w:jc w:val="both"/>
      </w:pPr>
      <w:r w:rsidRPr="00D43B42">
        <w:t>Red de Economía Alternativa y Solidaria / Ekonomia alternatibo eta elkartasunezkoaren sarea (REAS)</w:t>
      </w:r>
    </w:p>
    <w:p w:rsidR="00D43B42" w:rsidRPr="00D43B42" w:rsidRDefault="00D43B42" w:rsidP="00D43B42">
      <w:pPr>
        <w:pStyle w:val="Prrafodelista"/>
        <w:numPr>
          <w:ilvl w:val="0"/>
          <w:numId w:val="3"/>
        </w:numPr>
        <w:tabs>
          <w:tab w:val="left" w:pos="4890"/>
        </w:tabs>
        <w:jc w:val="both"/>
      </w:pPr>
      <w:r w:rsidRPr="00D43B42">
        <w:t>Red de Lucha contra la Pobreza y Exclusión Social de Navarra / Nafarroako Pobreziaren eta Gizarte Bazterketaren kontrako Sarea</w:t>
      </w:r>
    </w:p>
    <w:p w:rsidR="00D43B42" w:rsidRDefault="00D43B42" w:rsidP="00D43B42">
      <w:pPr>
        <w:pStyle w:val="Prrafodelista"/>
        <w:numPr>
          <w:ilvl w:val="0"/>
          <w:numId w:val="3"/>
        </w:numPr>
        <w:tabs>
          <w:tab w:val="left" w:pos="4890"/>
        </w:tabs>
        <w:jc w:val="both"/>
      </w:pPr>
      <w:r w:rsidRPr="00D43B42">
        <w:t>Comité de Entidades Representantes de Personas con Discapacidad de Navarra / Desgaitasunaren bat duten pertsonen erakunde ordezkarien Nafarroako Batzordeak (CERMIN)</w:t>
      </w:r>
    </w:p>
    <w:p w:rsidR="00D43B42" w:rsidRDefault="00D43B42" w:rsidP="00D43B42">
      <w:pPr>
        <w:tabs>
          <w:tab w:val="left" w:pos="4890"/>
        </w:tabs>
        <w:jc w:val="both"/>
      </w:pPr>
    </w:p>
    <w:p w:rsidR="00D43B42" w:rsidRDefault="00D43B42" w:rsidP="00D43B42">
      <w:pPr>
        <w:tabs>
          <w:tab w:val="left" w:pos="4890"/>
        </w:tabs>
        <w:jc w:val="both"/>
      </w:pPr>
    </w:p>
    <w:p w:rsidR="00D43B42" w:rsidRPr="00D43B42" w:rsidRDefault="00D43B42" w:rsidP="00D43B42">
      <w:pPr>
        <w:autoSpaceDE w:val="0"/>
        <w:autoSpaceDN w:val="0"/>
        <w:adjustRightInd w:val="0"/>
        <w:jc w:val="both"/>
        <w:rPr>
          <w:b/>
          <w:color w:val="000000"/>
        </w:rPr>
      </w:pPr>
      <w:r w:rsidRPr="00D43B42">
        <w:rPr>
          <w:b/>
          <w:color w:val="000000"/>
        </w:rPr>
        <w:lastRenderedPageBreak/>
        <w:t>INTRODUCCIÓN</w:t>
      </w:r>
    </w:p>
    <w:p w:rsidR="00D43B42" w:rsidRDefault="00D43B42" w:rsidP="00D43B42">
      <w:pPr>
        <w:spacing w:after="283" w:line="240" w:lineRule="auto"/>
        <w:jc w:val="both"/>
      </w:pPr>
      <w:r>
        <w:rPr>
          <w:color w:val="000000"/>
        </w:rPr>
        <w:t>La Plataforma de Entidades Sociales (PES) se constituyó en 2009 para aglutinar, con el consenso más amplio posible, a redes y organizaciones de iniciativa social de Navarra que trabajan en los ámbitos de la cooperación al desarrollo, la discapacidad, la economía solidaria y la exclusión social. En la actualidad, la PES agrupa a más de 130 organizaciones.</w:t>
      </w:r>
    </w:p>
    <w:p w:rsidR="00D43B42" w:rsidRDefault="00D43B42" w:rsidP="00D43B42">
      <w:pPr>
        <w:spacing w:after="283" w:line="240" w:lineRule="auto"/>
        <w:jc w:val="both"/>
      </w:pPr>
      <w:r>
        <w:rPr>
          <w:color w:val="000000"/>
        </w:rPr>
        <w:t>Nos juntamos hoy para mostrar nuestro descontento como PES ante los Presupuestos Generales de Navarra para 2018 debido a su insuficiencia para dar respuesta a los compromisos en materia social firmados en el Acuerdo Programático para el Gobierno de Navarra y que están teniendo repercusiones directas y sustantivas en las vidas de las personas.</w:t>
      </w:r>
    </w:p>
    <w:p w:rsidR="00D43B42" w:rsidRDefault="00D43B42" w:rsidP="00D43B42">
      <w:pPr>
        <w:spacing w:after="283" w:line="240" w:lineRule="auto"/>
        <w:jc w:val="both"/>
      </w:pPr>
      <w:r>
        <w:rPr>
          <w:color w:val="000000"/>
        </w:rPr>
        <w:t>Desde 2015 la PES venimos señalando que las buenas intenciones no son suficientes para cambiar la realidad social de Navarra y que es necesario que se materialice en políticas públicas serias y con una adecuada dotación de recursos. Por lo que, consideramos una oportunidad perdida estos años que no han logrado transformar la situación heredada de anteriores legislaturas.</w:t>
      </w:r>
    </w:p>
    <w:p w:rsidR="00D43B42" w:rsidRDefault="00D43B42" w:rsidP="00D43B42">
      <w:pPr>
        <w:spacing w:after="283" w:line="240" w:lineRule="auto"/>
        <w:jc w:val="both"/>
      </w:pPr>
      <w:r>
        <w:rPr>
          <w:color w:val="000000"/>
        </w:rPr>
        <w:t>En el caso de los Presupuestos Generales de Navarra para 2018 nos encontramos que ante un aumento de la recaudación por el 07% del IRPF destinados a fines sociales, se ha producido una disminución en similar porcentaje de las partidas propias del Gobierno, que en algunos casos ha llevado a su desaparición. Repitiendo la política de sustitución que se viene sufriendo desde los primeros recortes.</w:t>
      </w:r>
    </w:p>
    <w:p w:rsidR="00D43B42" w:rsidRDefault="00D43B42" w:rsidP="00D43B42">
      <w:pPr>
        <w:spacing w:after="283" w:line="240" w:lineRule="auto"/>
        <w:jc w:val="both"/>
      </w:pPr>
      <w:r>
        <w:rPr>
          <w:color w:val="000000"/>
        </w:rPr>
        <w:t>Recordemos que la filosofía del 0,7 % no era sustituir las partidas gubernamentales en esta área, sino reforzar al Tercer Sector por libre elección de los contribuyentes.</w:t>
      </w:r>
    </w:p>
    <w:p w:rsidR="00D43B42" w:rsidRDefault="00D43B42" w:rsidP="00D43B42">
      <w:pPr>
        <w:spacing w:after="283" w:line="240" w:lineRule="auto"/>
        <w:jc w:val="both"/>
      </w:pPr>
      <w:r>
        <w:rPr>
          <w:color w:val="000000"/>
        </w:rPr>
        <w:t>Además, desde la aprobación de la Ley Foral 7/2009 que regula la asignación de la casilla de fines sociales, hemos venido señalando el incumplimiento reiterado de la Ley que regula la consignación del 0,7% en algunos de sus puntos de los cuales el que más afecta a la materialización de los proyectos es el incumplimiento de los plazos recogidos en la ley.</w:t>
      </w:r>
    </w:p>
    <w:p w:rsidR="00D43B42" w:rsidRDefault="00D43B42" w:rsidP="00D43B42">
      <w:pPr>
        <w:spacing w:after="283" w:line="240" w:lineRule="auto"/>
        <w:jc w:val="both"/>
      </w:pPr>
      <w:r>
        <w:rPr>
          <w:color w:val="000000"/>
        </w:rPr>
        <w:t xml:space="preserve">Yendo más allá de las valoraciones del presupuesto que iremos señalando posteriormente, nos parece también importante señalar la necesidad de un compromiso social en la ejecución de las partidas. Es en la ejecución de éstas y en los criterios que se sigan a la hora de llevarlas a cabo en dónde se plasma el compromiso por un tipo de economía al servicio de las personas. </w:t>
      </w:r>
    </w:p>
    <w:p w:rsidR="00D43B42" w:rsidRDefault="00D43B42" w:rsidP="00D43B42">
      <w:pPr>
        <w:spacing w:after="283" w:line="240" w:lineRule="auto"/>
        <w:jc w:val="both"/>
      </w:pPr>
      <w:r>
        <w:rPr>
          <w:color w:val="000000"/>
        </w:rPr>
        <w:t>Esperamos que en la ejecución presupuestaria del Gobierno de Navarra, más allá de aquellas partidas destinadas directamente al departamento de políticas sociales, se lleven a cabo políticas que incentiven una economía orientada a las personas y al bien común.</w:t>
      </w:r>
    </w:p>
    <w:p w:rsidR="00D43B42" w:rsidRDefault="00D43B42" w:rsidP="00D43B42">
      <w:pPr>
        <w:spacing w:after="283" w:line="240" w:lineRule="auto"/>
        <w:jc w:val="both"/>
        <w:rPr>
          <w:color w:val="000000"/>
        </w:rPr>
      </w:pPr>
      <w:r>
        <w:rPr>
          <w:color w:val="000000"/>
        </w:rPr>
        <w:t>Esto se materializa en medidas como el establecimiento de cláusulas sociales en la contratación pública, la reserva de mercado, establecer unos criterios adecuados en las subvenciones o el cumplimiento de los plazos de las convocatorias entre otros.</w:t>
      </w:r>
    </w:p>
    <w:p w:rsidR="00D43B42" w:rsidRDefault="00D43B42" w:rsidP="00D43B42">
      <w:pPr>
        <w:spacing w:after="283" w:line="240" w:lineRule="auto"/>
        <w:rPr>
          <w:color w:val="000000"/>
        </w:rPr>
      </w:pPr>
    </w:p>
    <w:p w:rsidR="00D43B42" w:rsidRDefault="00D43B42" w:rsidP="00D43B42">
      <w:pPr>
        <w:spacing w:after="283" w:line="240" w:lineRule="auto"/>
        <w:rPr>
          <w:color w:val="000000"/>
        </w:rPr>
      </w:pPr>
    </w:p>
    <w:p w:rsidR="00D43B42" w:rsidRDefault="00D43B42" w:rsidP="00D43B42">
      <w:pPr>
        <w:spacing w:after="283" w:line="240" w:lineRule="auto"/>
        <w:rPr>
          <w:color w:val="000000"/>
        </w:rPr>
      </w:pPr>
    </w:p>
    <w:p w:rsidR="00D43B42" w:rsidRDefault="00D43B42" w:rsidP="00D43B42">
      <w:pPr>
        <w:spacing w:after="283" w:line="240" w:lineRule="auto"/>
        <w:rPr>
          <w:color w:val="000000"/>
        </w:rPr>
      </w:pPr>
    </w:p>
    <w:p w:rsidR="00D43B42" w:rsidRPr="00EC3661" w:rsidRDefault="00D43B42" w:rsidP="00EC3661">
      <w:pPr>
        <w:pStyle w:val="Prrafodelista"/>
        <w:numPr>
          <w:ilvl w:val="0"/>
          <w:numId w:val="7"/>
        </w:numPr>
        <w:spacing w:after="283" w:line="240" w:lineRule="auto"/>
        <w:jc w:val="both"/>
        <w:rPr>
          <w:b/>
          <w:color w:val="000000"/>
        </w:rPr>
      </w:pPr>
      <w:r w:rsidRPr="00EC3661">
        <w:rPr>
          <w:b/>
          <w:color w:val="000000"/>
        </w:rPr>
        <w:t>COOPERACIÓN INTERNACIONAL PARA EL DESARROLLO</w:t>
      </w:r>
    </w:p>
    <w:p w:rsidR="00D43B42" w:rsidRPr="00D43B42" w:rsidRDefault="00D43B42" w:rsidP="00D43B42">
      <w:pPr>
        <w:spacing w:after="283" w:line="240" w:lineRule="auto"/>
        <w:jc w:val="both"/>
        <w:rPr>
          <w:color w:val="000000"/>
        </w:rPr>
      </w:pPr>
      <w:r w:rsidRPr="00D43B42">
        <w:rPr>
          <w:color w:val="000000"/>
        </w:rPr>
        <w:t>La Coordinadora de ONG de desarrollo de Navarra</w:t>
      </w:r>
    </w:p>
    <w:p w:rsidR="00D43B42" w:rsidRPr="00D43B42" w:rsidRDefault="00D43B42" w:rsidP="00D43B42">
      <w:pPr>
        <w:spacing w:after="283" w:line="240" w:lineRule="auto"/>
        <w:jc w:val="both"/>
        <w:rPr>
          <w:color w:val="000000"/>
        </w:rPr>
      </w:pPr>
      <w:r w:rsidRPr="00D43B42">
        <w:rPr>
          <w:color w:val="000000"/>
        </w:rPr>
        <w:t xml:space="preserve">Desde nuestra experiencia, en Navarra, de 20 años en la defensa de la política de cooperación para el desarrollo como pilar fundamental de nuestro </w:t>
      </w:r>
      <w:r>
        <w:rPr>
          <w:color w:val="000000"/>
        </w:rPr>
        <w:t xml:space="preserve">trabajo. </w:t>
      </w:r>
    </w:p>
    <w:p w:rsidR="00D43B42" w:rsidRPr="00D43B42" w:rsidRDefault="00D43B42" w:rsidP="00D43B42">
      <w:pPr>
        <w:spacing w:after="283" w:line="240" w:lineRule="auto"/>
        <w:jc w:val="both"/>
        <w:rPr>
          <w:color w:val="000000"/>
        </w:rPr>
      </w:pPr>
      <w:r w:rsidRPr="00D43B42">
        <w:rPr>
          <w:color w:val="000000"/>
        </w:rPr>
        <w:t xml:space="preserve">En consonancia con nuestra pertenencia a  </w:t>
      </w:r>
      <w:smartTag w:uri="urn:schemas-microsoft-com:office:smarttags" w:element="PersonName">
        <w:smartTagPr>
          <w:attr w:name="ProductID" w:val="la Coordinadora"/>
        </w:smartTagPr>
        <w:r w:rsidRPr="00D43B42">
          <w:rPr>
            <w:color w:val="000000"/>
          </w:rPr>
          <w:t>la Coordinadora</w:t>
        </w:r>
      </w:smartTag>
      <w:r w:rsidRPr="00D43B42">
        <w:rPr>
          <w:color w:val="000000"/>
        </w:rPr>
        <w:t xml:space="preserve"> estatal y </w:t>
      </w:r>
      <w:smartTag w:uri="urn:schemas-microsoft-com:office:smarttags" w:element="PersonName">
        <w:smartTagPr>
          <w:attr w:name="ProductID" w:val="la Red"/>
        </w:smartTagPr>
        <w:r w:rsidRPr="00D43B42">
          <w:rPr>
            <w:color w:val="000000"/>
          </w:rPr>
          <w:t>la Red</w:t>
        </w:r>
      </w:smartTag>
      <w:r w:rsidRPr="00D43B42">
        <w:rPr>
          <w:color w:val="000000"/>
        </w:rPr>
        <w:t xml:space="preserve"> de Coordinadoras Autonómicas</w:t>
      </w:r>
      <w:r>
        <w:rPr>
          <w:color w:val="000000"/>
        </w:rPr>
        <w:t>,</w:t>
      </w:r>
    </w:p>
    <w:p w:rsidR="00D43B42" w:rsidRPr="00D43B42" w:rsidRDefault="00D43B42" w:rsidP="00D43B42">
      <w:pPr>
        <w:spacing w:after="283" w:line="240" w:lineRule="auto"/>
        <w:ind w:left="708"/>
        <w:jc w:val="both"/>
        <w:rPr>
          <w:color w:val="000000"/>
        </w:rPr>
      </w:pPr>
      <w:r w:rsidRPr="00D43B42">
        <w:rPr>
          <w:color w:val="000000"/>
        </w:rPr>
        <w:t xml:space="preserve">Reiteramos la necesidad de políticas públicas que respondan de manera efectiva a los tres desafíos globales que </w:t>
      </w:r>
      <w:smartTag w:uri="urn:schemas-microsoft-com:office:smarttags" w:element="PersonName">
        <w:smartTagPr>
          <w:attr w:name="ProductID" w:val="la Agenda"/>
        </w:smartTagPr>
        <w:r w:rsidRPr="00D43B42">
          <w:rPr>
            <w:color w:val="000000"/>
          </w:rPr>
          <w:t>la Agenda</w:t>
        </w:r>
      </w:smartTag>
      <w:r w:rsidRPr="00D43B42">
        <w:rPr>
          <w:color w:val="000000"/>
        </w:rPr>
        <w:t xml:space="preserve"> de Desarrollo Sostenible ha identificado como prioritarios: </w:t>
      </w:r>
      <w:r w:rsidRPr="00D43B42">
        <w:rPr>
          <w:bCs/>
          <w:color w:val="000000"/>
        </w:rPr>
        <w:t xml:space="preserve">pobreza, desigualdad y sostenibilidad, y que enfrenten </w:t>
      </w:r>
      <w:r>
        <w:rPr>
          <w:color w:val="000000"/>
        </w:rPr>
        <w:t>sus causas estructurales.</w:t>
      </w:r>
    </w:p>
    <w:p w:rsidR="00D43B42" w:rsidRPr="00D43B42" w:rsidRDefault="00D43B42" w:rsidP="00D43B42">
      <w:pPr>
        <w:spacing w:after="283" w:line="240" w:lineRule="auto"/>
        <w:ind w:left="708"/>
        <w:jc w:val="both"/>
        <w:rPr>
          <w:color w:val="000000"/>
        </w:rPr>
      </w:pPr>
      <w:r w:rsidRPr="00D43B42">
        <w:rPr>
          <w:color w:val="000000"/>
        </w:rPr>
        <w:t xml:space="preserve">Reivindicamos un modelo de desarrollo en el que </w:t>
      </w:r>
      <w:r w:rsidRPr="00D43B42">
        <w:rPr>
          <w:bCs/>
          <w:color w:val="000000"/>
        </w:rPr>
        <w:t xml:space="preserve">los derechos humanos estén en el </w:t>
      </w:r>
      <w:r w:rsidRPr="00D43B42">
        <w:rPr>
          <w:color w:val="000000"/>
        </w:rPr>
        <w:t xml:space="preserve">centro de la agenda política </w:t>
      </w:r>
    </w:p>
    <w:p w:rsidR="00D43B42" w:rsidRPr="00D43B42" w:rsidRDefault="00D43B42" w:rsidP="00D43B42">
      <w:pPr>
        <w:spacing w:after="283" w:line="240" w:lineRule="auto"/>
        <w:ind w:left="708"/>
        <w:jc w:val="both"/>
        <w:rPr>
          <w:color w:val="000000"/>
        </w:rPr>
      </w:pPr>
      <w:r w:rsidRPr="00D43B42">
        <w:rPr>
          <w:color w:val="000000"/>
        </w:rPr>
        <w:t>Reclamamos la articulación de  la política pública de Cooperación al desarrollo a través de</w:t>
      </w:r>
    </w:p>
    <w:p w:rsidR="00D43B42" w:rsidRPr="00D43B42" w:rsidRDefault="00D43B42" w:rsidP="00D43B42">
      <w:pPr>
        <w:pStyle w:val="Prrafodelista"/>
        <w:numPr>
          <w:ilvl w:val="0"/>
          <w:numId w:val="6"/>
        </w:numPr>
        <w:spacing w:after="283" w:line="240" w:lineRule="auto"/>
        <w:jc w:val="both"/>
        <w:rPr>
          <w:bCs/>
          <w:color w:val="000000"/>
        </w:rPr>
      </w:pPr>
      <w:r w:rsidRPr="00D43B42">
        <w:rPr>
          <w:bCs/>
          <w:color w:val="000000"/>
        </w:rPr>
        <w:t>Marco jurídico estable</w:t>
      </w:r>
    </w:p>
    <w:p w:rsidR="00D43B42" w:rsidRPr="00D43B42" w:rsidRDefault="00D43B42" w:rsidP="00D43B42">
      <w:pPr>
        <w:pStyle w:val="Prrafodelista"/>
        <w:numPr>
          <w:ilvl w:val="0"/>
          <w:numId w:val="6"/>
        </w:numPr>
        <w:spacing w:after="283" w:line="240" w:lineRule="auto"/>
        <w:jc w:val="both"/>
        <w:rPr>
          <w:bCs/>
          <w:color w:val="000000"/>
        </w:rPr>
      </w:pPr>
      <w:r w:rsidRPr="00D43B42">
        <w:rPr>
          <w:bCs/>
          <w:color w:val="000000"/>
        </w:rPr>
        <w:t>La coherencia de políticas para el desarrollo en la acción del gobierno</w:t>
      </w:r>
    </w:p>
    <w:p w:rsidR="00D43B42" w:rsidRPr="00D43B42" w:rsidRDefault="00D43B42" w:rsidP="00D43B42">
      <w:pPr>
        <w:pStyle w:val="Prrafodelista"/>
        <w:numPr>
          <w:ilvl w:val="0"/>
          <w:numId w:val="6"/>
        </w:numPr>
        <w:spacing w:after="283" w:line="240" w:lineRule="auto"/>
        <w:jc w:val="both"/>
        <w:rPr>
          <w:bCs/>
          <w:color w:val="000000"/>
        </w:rPr>
      </w:pPr>
      <w:r w:rsidRPr="00D43B42">
        <w:rPr>
          <w:bCs/>
          <w:color w:val="000000"/>
        </w:rPr>
        <w:t xml:space="preserve">La implementación de </w:t>
      </w:r>
      <w:smartTag w:uri="urn:schemas-microsoft-com:office:smarttags" w:element="PersonName">
        <w:smartTagPr>
          <w:attr w:name="ProductID" w:val="la Agenda"/>
        </w:smartTagPr>
        <w:r w:rsidRPr="00D43B42">
          <w:rPr>
            <w:bCs/>
            <w:color w:val="000000"/>
          </w:rPr>
          <w:t>la Agenda</w:t>
        </w:r>
      </w:smartTag>
      <w:r w:rsidRPr="00D43B42">
        <w:rPr>
          <w:bCs/>
          <w:color w:val="000000"/>
        </w:rPr>
        <w:t xml:space="preserve"> 2030</w:t>
      </w:r>
    </w:p>
    <w:p w:rsidR="00D43B42" w:rsidRPr="00D43B42" w:rsidRDefault="00D43B42" w:rsidP="00D43B42">
      <w:pPr>
        <w:pStyle w:val="Prrafodelista"/>
        <w:numPr>
          <w:ilvl w:val="0"/>
          <w:numId w:val="6"/>
        </w:numPr>
        <w:spacing w:after="283" w:line="240" w:lineRule="auto"/>
        <w:jc w:val="both"/>
        <w:rPr>
          <w:bCs/>
          <w:color w:val="000000"/>
        </w:rPr>
      </w:pPr>
      <w:r w:rsidRPr="00D43B42">
        <w:rPr>
          <w:bCs/>
          <w:color w:val="000000"/>
        </w:rPr>
        <w:t xml:space="preserve">El compromiso con </w:t>
      </w:r>
      <w:smartTag w:uri="urn:schemas-microsoft-com:office:smarttags" w:element="PersonName">
        <w:smartTagPr>
          <w:attr w:name="ProductID" w:val="La Ayuda Oficial"/>
        </w:smartTagPr>
        <w:r w:rsidRPr="00D43B42">
          <w:rPr>
            <w:bCs/>
            <w:color w:val="000000"/>
          </w:rPr>
          <w:t>La Ayuda Oficial</w:t>
        </w:r>
      </w:smartTag>
      <w:r w:rsidRPr="00D43B42">
        <w:rPr>
          <w:bCs/>
          <w:color w:val="000000"/>
        </w:rPr>
        <w:t xml:space="preserve"> al Desarrollo (AOD)</w:t>
      </w:r>
    </w:p>
    <w:p w:rsidR="00D43B42" w:rsidRPr="00D43B42" w:rsidRDefault="00D43B42" w:rsidP="00D43B42">
      <w:pPr>
        <w:pStyle w:val="Prrafodelista"/>
        <w:numPr>
          <w:ilvl w:val="0"/>
          <w:numId w:val="6"/>
        </w:numPr>
        <w:spacing w:after="283" w:line="240" w:lineRule="auto"/>
        <w:jc w:val="both"/>
        <w:rPr>
          <w:bCs/>
          <w:color w:val="000000"/>
        </w:rPr>
      </w:pPr>
      <w:r w:rsidRPr="00D43B42">
        <w:rPr>
          <w:bCs/>
          <w:color w:val="000000"/>
        </w:rPr>
        <w:t>La dotación de Recursos de calidad para la lucha contra la pobreza y  la reducción de las desigualdades.</w:t>
      </w:r>
    </w:p>
    <w:p w:rsidR="00D43B42" w:rsidRPr="00D43B42" w:rsidRDefault="00D43B42" w:rsidP="00D43B42">
      <w:pPr>
        <w:pStyle w:val="Prrafodelista"/>
        <w:numPr>
          <w:ilvl w:val="0"/>
          <w:numId w:val="6"/>
        </w:numPr>
        <w:spacing w:after="283" w:line="240" w:lineRule="auto"/>
        <w:jc w:val="both"/>
        <w:rPr>
          <w:bCs/>
          <w:color w:val="000000"/>
        </w:rPr>
      </w:pPr>
      <w:r w:rsidRPr="00D43B42">
        <w:rPr>
          <w:bCs/>
          <w:color w:val="000000"/>
        </w:rPr>
        <w:t xml:space="preserve">El reconocimiento del papel de  las Organizaciones de </w:t>
      </w:r>
      <w:smartTag w:uri="urn:schemas-microsoft-com:office:smarttags" w:element="PersonName">
        <w:smartTagPr>
          <w:attr w:name="ProductID" w:val="la Sociedad Civil."/>
        </w:smartTagPr>
        <w:r w:rsidRPr="00D43B42">
          <w:rPr>
            <w:bCs/>
            <w:color w:val="000000"/>
          </w:rPr>
          <w:t>la Sociedad Civil.</w:t>
        </w:r>
      </w:smartTag>
    </w:p>
    <w:p w:rsidR="00D43B42" w:rsidRPr="00D43B42" w:rsidRDefault="00D43B42" w:rsidP="00D43B42">
      <w:pPr>
        <w:pStyle w:val="Prrafodelista"/>
        <w:numPr>
          <w:ilvl w:val="0"/>
          <w:numId w:val="6"/>
        </w:numPr>
        <w:spacing w:after="283" w:line="240" w:lineRule="auto"/>
        <w:jc w:val="both"/>
        <w:rPr>
          <w:bCs/>
          <w:color w:val="000000"/>
        </w:rPr>
      </w:pPr>
      <w:r w:rsidRPr="00D43B42">
        <w:rPr>
          <w:bCs/>
          <w:color w:val="000000"/>
        </w:rPr>
        <w:t>El impulso a la defensa de los derechos de las mujeres</w:t>
      </w:r>
    </w:p>
    <w:p w:rsidR="00D43B42" w:rsidRPr="00D43B42" w:rsidRDefault="00D43B42" w:rsidP="00D43B42">
      <w:pPr>
        <w:pStyle w:val="Prrafodelista"/>
        <w:numPr>
          <w:ilvl w:val="0"/>
          <w:numId w:val="6"/>
        </w:numPr>
        <w:spacing w:after="283" w:line="240" w:lineRule="auto"/>
        <w:jc w:val="both"/>
        <w:rPr>
          <w:bCs/>
          <w:color w:val="000000"/>
        </w:rPr>
      </w:pPr>
      <w:r w:rsidRPr="00D43B42">
        <w:rPr>
          <w:bCs/>
          <w:color w:val="000000"/>
        </w:rPr>
        <w:t>La regularización del impacto del sector privado</w:t>
      </w:r>
    </w:p>
    <w:p w:rsidR="00D43B42" w:rsidRPr="00D43B42" w:rsidRDefault="00D43B42" w:rsidP="00D43B42">
      <w:pPr>
        <w:pStyle w:val="Prrafodelista"/>
        <w:numPr>
          <w:ilvl w:val="0"/>
          <w:numId w:val="6"/>
        </w:numPr>
        <w:spacing w:after="283" w:line="240" w:lineRule="auto"/>
        <w:jc w:val="both"/>
        <w:rPr>
          <w:bCs/>
          <w:color w:val="000000"/>
        </w:rPr>
      </w:pPr>
      <w:r w:rsidRPr="00D43B42">
        <w:rPr>
          <w:bCs/>
          <w:color w:val="000000"/>
        </w:rPr>
        <w:t>La asignación de recursos suficientes para la acción</w:t>
      </w:r>
      <w:r w:rsidRPr="00D43B42">
        <w:rPr>
          <w:b/>
          <w:bCs/>
          <w:color w:val="000000"/>
        </w:rPr>
        <w:t xml:space="preserve"> </w:t>
      </w:r>
      <w:r w:rsidRPr="00D43B42">
        <w:rPr>
          <w:bCs/>
          <w:color w:val="000000"/>
        </w:rPr>
        <w:t>Humanitaria</w:t>
      </w:r>
    </w:p>
    <w:p w:rsidR="00D43B42" w:rsidRPr="00D43B42" w:rsidRDefault="00D43B42" w:rsidP="00D43B42">
      <w:pPr>
        <w:pStyle w:val="Prrafodelista"/>
        <w:numPr>
          <w:ilvl w:val="0"/>
          <w:numId w:val="6"/>
        </w:numPr>
        <w:spacing w:after="283" w:line="240" w:lineRule="auto"/>
        <w:jc w:val="both"/>
        <w:rPr>
          <w:bCs/>
          <w:color w:val="000000"/>
        </w:rPr>
      </w:pPr>
      <w:r w:rsidRPr="00D43B42">
        <w:rPr>
          <w:bCs/>
          <w:color w:val="000000"/>
        </w:rPr>
        <w:t>El impulso de la </w:t>
      </w:r>
      <w:hyperlink r:id="rId9" w:history="1">
        <w:r w:rsidRPr="00D43B42">
          <w:rPr>
            <w:bCs/>
            <w:color w:val="000000"/>
          </w:rPr>
          <w:t>Educación para el Desarrollo y la Ciudadanía Global</w:t>
        </w:r>
      </w:hyperlink>
    </w:p>
    <w:p w:rsidR="00D43B42" w:rsidRPr="00D43B42" w:rsidRDefault="00D43B42" w:rsidP="00D43B42">
      <w:pPr>
        <w:spacing w:after="283" w:line="240" w:lineRule="auto"/>
        <w:jc w:val="both"/>
        <w:rPr>
          <w:b/>
          <w:bCs/>
          <w:color w:val="000000"/>
        </w:rPr>
      </w:pPr>
    </w:p>
    <w:p w:rsidR="00D43B42" w:rsidRPr="00D43B42" w:rsidRDefault="00D43B42" w:rsidP="00D43B42">
      <w:pPr>
        <w:spacing w:after="283" w:line="240" w:lineRule="auto"/>
        <w:jc w:val="both"/>
        <w:rPr>
          <w:color w:val="000000"/>
        </w:rPr>
      </w:pPr>
      <w:r w:rsidRPr="00D43B42">
        <w:rPr>
          <w:color w:val="000000"/>
        </w:rPr>
        <w:t xml:space="preserve">Hoy acompañamos  a otras redes sectoriales para  </w:t>
      </w:r>
      <w:r w:rsidRPr="00D43B42">
        <w:rPr>
          <w:b/>
          <w:color w:val="000000"/>
        </w:rPr>
        <w:t>Incidir</w:t>
      </w:r>
      <w:r w:rsidRPr="00D43B42">
        <w:rPr>
          <w:color w:val="000000"/>
        </w:rPr>
        <w:t xml:space="preserve"> en las </w:t>
      </w:r>
      <w:r w:rsidRPr="00D43B42">
        <w:rPr>
          <w:b/>
          <w:color w:val="000000"/>
        </w:rPr>
        <w:t>deficiencias</w:t>
      </w:r>
      <w:r w:rsidRPr="00D43B42">
        <w:rPr>
          <w:color w:val="000000"/>
        </w:rPr>
        <w:t xml:space="preserve"> de la actual política de cooperación al desarrollo del Gobierno de Navarra y </w:t>
      </w:r>
      <w:r w:rsidRPr="00D43B42">
        <w:rPr>
          <w:b/>
          <w:color w:val="000000"/>
        </w:rPr>
        <w:t>sus graves consecuencias</w:t>
      </w:r>
      <w:r w:rsidRPr="00D43B42">
        <w:rPr>
          <w:color w:val="000000"/>
        </w:rPr>
        <w:t>;</w:t>
      </w:r>
    </w:p>
    <w:p w:rsidR="00D43B42" w:rsidRPr="00D43B42" w:rsidRDefault="00D43B42" w:rsidP="00D43B42">
      <w:pPr>
        <w:spacing w:after="283" w:line="240" w:lineRule="auto"/>
        <w:jc w:val="both"/>
        <w:rPr>
          <w:color w:val="000000"/>
        </w:rPr>
      </w:pPr>
      <w:r w:rsidRPr="00D43B42">
        <w:rPr>
          <w:color w:val="000000"/>
        </w:rPr>
        <w:t>El presupuesto de AOD en Navarra se traduce en la colaboración con organizaciones y personas de países empobrecidos que en el año 2016 superó los 2.400.000 de personas beneficiarias.  El incumplimiento de los compromisos conlleva la interrupción de algunos de los procesos iniciados y la  frustración de sus resultados. Supone condenar  la esperanza de miles de personas.</w:t>
      </w:r>
    </w:p>
    <w:p w:rsidR="00D43B42" w:rsidRPr="00D43B42" w:rsidRDefault="00D43B42" w:rsidP="00D43B42">
      <w:pPr>
        <w:spacing w:after="283" w:line="240" w:lineRule="auto"/>
        <w:jc w:val="both"/>
        <w:rPr>
          <w:color w:val="000000"/>
        </w:rPr>
      </w:pPr>
      <w:r w:rsidRPr="00D43B42">
        <w:rPr>
          <w:b/>
          <w:color w:val="000000"/>
        </w:rPr>
        <w:t>Denunciamos</w:t>
      </w:r>
      <w:r w:rsidRPr="00D43B42">
        <w:rPr>
          <w:color w:val="000000"/>
        </w:rPr>
        <w:t xml:space="preserve"> la falta de planificación de esta cooperación descentralizada, en la que los compromisos institucionales no se respaldan con los recursos necesarios para su cumplimiento.</w:t>
      </w:r>
    </w:p>
    <w:p w:rsidR="00D43B42" w:rsidRPr="00D43B42" w:rsidRDefault="00D43B42" w:rsidP="00D43B42">
      <w:pPr>
        <w:spacing w:after="283" w:line="240" w:lineRule="auto"/>
        <w:jc w:val="both"/>
        <w:rPr>
          <w:color w:val="000000"/>
        </w:rPr>
      </w:pPr>
    </w:p>
    <w:p w:rsidR="00D43B42" w:rsidRPr="00D43B42" w:rsidRDefault="00D43B42" w:rsidP="00D43B42">
      <w:pPr>
        <w:spacing w:after="283" w:line="240" w:lineRule="auto"/>
        <w:jc w:val="both"/>
        <w:rPr>
          <w:color w:val="000000"/>
        </w:rPr>
      </w:pPr>
    </w:p>
    <w:p w:rsidR="00D43B42" w:rsidRPr="00D43B42" w:rsidRDefault="00D43B42" w:rsidP="00D43B42">
      <w:pPr>
        <w:spacing w:after="283" w:line="240" w:lineRule="auto"/>
        <w:jc w:val="both"/>
        <w:rPr>
          <w:b/>
          <w:color w:val="000000"/>
        </w:rPr>
      </w:pPr>
      <w:r w:rsidRPr="00D43B42">
        <w:rPr>
          <w:b/>
          <w:color w:val="000000"/>
        </w:rPr>
        <w:lastRenderedPageBreak/>
        <w:t>Reivindicamos</w:t>
      </w:r>
    </w:p>
    <w:p w:rsidR="00D43B42" w:rsidRPr="00D43B42" w:rsidRDefault="00D43B42" w:rsidP="00D43B42">
      <w:pPr>
        <w:spacing w:after="283" w:line="240" w:lineRule="auto"/>
        <w:ind w:left="708"/>
        <w:jc w:val="both"/>
        <w:rPr>
          <w:color w:val="000000"/>
        </w:rPr>
      </w:pPr>
      <w:r w:rsidRPr="00D43B42">
        <w:rPr>
          <w:color w:val="000000"/>
        </w:rPr>
        <w:t>Políticas públicas estables  sustentadas en la dotación presupuestaria suficiente  de sus herramientas y  Planes de ejecución.  Destacamos el III Plan Director de Cooperación, actualmente en elaboración, como exponente de nuestra reivindicación.</w:t>
      </w:r>
    </w:p>
    <w:p w:rsidR="00D43B42" w:rsidRPr="00D43B42" w:rsidRDefault="00D43B42" w:rsidP="00D43B42">
      <w:pPr>
        <w:spacing w:after="283" w:line="240" w:lineRule="auto"/>
        <w:ind w:left="708"/>
        <w:jc w:val="both"/>
        <w:rPr>
          <w:bCs/>
          <w:color w:val="000000"/>
        </w:rPr>
      </w:pPr>
      <w:r w:rsidRPr="00D43B42">
        <w:rPr>
          <w:color w:val="000000"/>
        </w:rPr>
        <w:t xml:space="preserve">La necesidad de un compromiso de </w:t>
      </w:r>
      <w:r w:rsidRPr="00D43B42">
        <w:rPr>
          <w:bCs/>
          <w:color w:val="000000"/>
        </w:rPr>
        <w:t>Liderazgo político del más alto nivel en la gestión estratégica de la agenda 2030.</w:t>
      </w:r>
    </w:p>
    <w:p w:rsidR="00D43B42" w:rsidRPr="00D43B42" w:rsidRDefault="00D43B42" w:rsidP="00D43B42">
      <w:pPr>
        <w:spacing w:after="283" w:line="240" w:lineRule="auto"/>
        <w:ind w:left="708"/>
        <w:jc w:val="both"/>
        <w:rPr>
          <w:color w:val="000000"/>
        </w:rPr>
      </w:pPr>
      <w:r w:rsidRPr="00D43B42">
        <w:rPr>
          <w:color w:val="000000"/>
        </w:rPr>
        <w:t>El ámbito del Consejo de Cooperación para el diálogo, la colaboración y la participación efectiva de los agentes sociales relevantes en la articulación de la cooperación descentralizada con sus responsables públicos.</w:t>
      </w:r>
    </w:p>
    <w:p w:rsidR="00D43B42" w:rsidRPr="00D43B42" w:rsidRDefault="00D43B42" w:rsidP="00D43B42">
      <w:pPr>
        <w:spacing w:after="283" w:line="240" w:lineRule="auto"/>
        <w:ind w:left="708"/>
        <w:jc w:val="both"/>
        <w:rPr>
          <w:color w:val="000000"/>
        </w:rPr>
      </w:pPr>
      <w:r w:rsidRPr="00D43B42">
        <w:rPr>
          <w:color w:val="000000"/>
        </w:rPr>
        <w:t xml:space="preserve">Política de transparencia pública  que informe de la puesta en marcha de iniciativas y acciones de desarrollo tanto a las organizaciones sectoriales como a la ciudadanía en general. </w:t>
      </w:r>
    </w:p>
    <w:p w:rsidR="00D43B42" w:rsidRPr="00D43B42" w:rsidRDefault="00D43B42" w:rsidP="00D43B42">
      <w:pPr>
        <w:spacing w:after="283" w:line="240" w:lineRule="auto"/>
        <w:ind w:left="708"/>
        <w:jc w:val="both"/>
        <w:rPr>
          <w:color w:val="000000"/>
        </w:rPr>
      </w:pPr>
      <w:r w:rsidRPr="00D43B42">
        <w:rPr>
          <w:color w:val="000000"/>
        </w:rPr>
        <w:t>Nuevamente que la dotación que se recibe del 0,7% de IRPF no sustituya y disfrace los incrementos que corresponden a la acción del  Gobierno de Navarra.</w:t>
      </w:r>
    </w:p>
    <w:p w:rsidR="00D43B42" w:rsidRPr="00D43B42" w:rsidRDefault="00D43B42" w:rsidP="00D43B42">
      <w:pPr>
        <w:spacing w:after="283" w:line="240" w:lineRule="auto"/>
        <w:jc w:val="both"/>
        <w:rPr>
          <w:b/>
          <w:color w:val="000000"/>
        </w:rPr>
      </w:pPr>
      <w:r w:rsidRPr="00D43B42">
        <w:rPr>
          <w:b/>
          <w:color w:val="000000"/>
        </w:rPr>
        <w:t>Presupuestos 2018</w:t>
      </w:r>
    </w:p>
    <w:tbl>
      <w:tblPr>
        <w:tblW w:w="8789" w:type="dxa"/>
        <w:tblInd w:w="70" w:type="dxa"/>
        <w:tblLayout w:type="fixed"/>
        <w:tblCellMar>
          <w:left w:w="70" w:type="dxa"/>
          <w:right w:w="70" w:type="dxa"/>
        </w:tblCellMar>
        <w:tblLook w:val="0000" w:firstRow="0" w:lastRow="0" w:firstColumn="0" w:lastColumn="0" w:noHBand="0" w:noVBand="0"/>
      </w:tblPr>
      <w:tblGrid>
        <w:gridCol w:w="5229"/>
        <w:gridCol w:w="1140"/>
        <w:gridCol w:w="1140"/>
        <w:gridCol w:w="1280"/>
      </w:tblGrid>
      <w:tr w:rsidR="00D43B42" w:rsidRPr="004C4057" w:rsidTr="00F57A84">
        <w:tblPrEx>
          <w:tblCellMar>
            <w:top w:w="0" w:type="dxa"/>
            <w:bottom w:w="0" w:type="dxa"/>
          </w:tblCellMar>
        </w:tblPrEx>
        <w:trPr>
          <w:trHeight w:val="420"/>
        </w:trPr>
        <w:tc>
          <w:tcPr>
            <w:tcW w:w="5229" w:type="dxa"/>
            <w:tcBorders>
              <w:top w:val="single" w:sz="9" w:space="0" w:color="808080"/>
              <w:left w:val="single" w:sz="9" w:space="0" w:color="808080"/>
              <w:bottom w:val="single" w:sz="9" w:space="0" w:color="808080"/>
              <w:right w:val="single" w:sz="9" w:space="0" w:color="808080"/>
            </w:tcBorders>
            <w:vAlign w:val="center"/>
          </w:tcPr>
          <w:p w:rsidR="00D43B42" w:rsidRPr="004C4057" w:rsidRDefault="00D43B42" w:rsidP="00F57A84">
            <w:pPr>
              <w:autoSpaceDE w:val="0"/>
              <w:autoSpaceDN w:val="0"/>
              <w:adjustRightInd w:val="0"/>
              <w:spacing w:before="20" w:after="20"/>
              <w:rPr>
                <w:rFonts w:ascii="Tahoma" w:hAnsi="Tahoma" w:cs="Tahoma"/>
                <w:sz w:val="18"/>
                <w:szCs w:val="18"/>
                <w:lang w:val="es"/>
              </w:rPr>
            </w:pPr>
            <w:r w:rsidRPr="004C4057">
              <w:rPr>
                <w:rFonts w:ascii="Tahoma" w:hAnsi="Tahoma" w:cs="Tahoma"/>
                <w:color w:val="000000"/>
                <w:sz w:val="18"/>
                <w:szCs w:val="18"/>
                <w:lang w:val="es"/>
              </w:rPr>
              <w:t>PARTIDA PRESUPUESTARIA</w:t>
            </w:r>
          </w:p>
        </w:tc>
        <w:tc>
          <w:tcPr>
            <w:tcW w:w="1140" w:type="dxa"/>
            <w:tcBorders>
              <w:top w:val="single" w:sz="9" w:space="0" w:color="808080"/>
              <w:left w:val="single" w:sz="9" w:space="0" w:color="808080"/>
              <w:bottom w:val="single" w:sz="9" w:space="0" w:color="808080"/>
              <w:right w:val="single" w:sz="9" w:space="0" w:color="808080"/>
            </w:tcBorders>
            <w:vAlign w:val="center"/>
          </w:tcPr>
          <w:p w:rsidR="00D43B42" w:rsidRPr="004C4057" w:rsidRDefault="00D43B42" w:rsidP="00F57A84">
            <w:pPr>
              <w:autoSpaceDE w:val="0"/>
              <w:autoSpaceDN w:val="0"/>
              <w:adjustRightInd w:val="0"/>
              <w:spacing w:before="20" w:after="20"/>
              <w:jc w:val="center"/>
              <w:rPr>
                <w:rFonts w:ascii="Tahoma" w:hAnsi="Tahoma" w:cs="Tahoma"/>
                <w:sz w:val="18"/>
                <w:szCs w:val="18"/>
                <w:lang w:val="es"/>
              </w:rPr>
            </w:pPr>
            <w:r w:rsidRPr="004C4057">
              <w:rPr>
                <w:rFonts w:ascii="Tahoma" w:hAnsi="Tahoma" w:cs="Tahoma"/>
                <w:color w:val="000000"/>
                <w:sz w:val="18"/>
                <w:szCs w:val="18"/>
                <w:lang w:val="es"/>
              </w:rPr>
              <w:t>2018</w:t>
            </w:r>
          </w:p>
        </w:tc>
        <w:tc>
          <w:tcPr>
            <w:tcW w:w="1140" w:type="dxa"/>
            <w:tcBorders>
              <w:top w:val="single" w:sz="9" w:space="0" w:color="808080"/>
              <w:left w:val="single" w:sz="9" w:space="0" w:color="808080"/>
              <w:bottom w:val="single" w:sz="9" w:space="0" w:color="808080"/>
              <w:right w:val="single" w:sz="9" w:space="0" w:color="808080"/>
            </w:tcBorders>
            <w:vAlign w:val="center"/>
          </w:tcPr>
          <w:p w:rsidR="00D43B42" w:rsidRPr="004C4057" w:rsidRDefault="00D43B42" w:rsidP="00F57A84">
            <w:pPr>
              <w:autoSpaceDE w:val="0"/>
              <w:autoSpaceDN w:val="0"/>
              <w:adjustRightInd w:val="0"/>
              <w:spacing w:before="20" w:after="20"/>
              <w:jc w:val="center"/>
              <w:rPr>
                <w:rFonts w:ascii="Tahoma" w:hAnsi="Tahoma" w:cs="Tahoma"/>
                <w:sz w:val="18"/>
                <w:szCs w:val="18"/>
                <w:lang w:val="es"/>
              </w:rPr>
            </w:pPr>
            <w:r w:rsidRPr="004C4057">
              <w:rPr>
                <w:rFonts w:ascii="Tahoma" w:hAnsi="Tahoma" w:cs="Tahoma"/>
                <w:color w:val="000000"/>
                <w:sz w:val="18"/>
                <w:szCs w:val="18"/>
                <w:lang w:val="es"/>
              </w:rPr>
              <w:t>2017</w:t>
            </w:r>
          </w:p>
        </w:tc>
        <w:tc>
          <w:tcPr>
            <w:tcW w:w="1280" w:type="dxa"/>
            <w:tcBorders>
              <w:top w:val="single" w:sz="9" w:space="0" w:color="808080"/>
              <w:left w:val="single" w:sz="9" w:space="0" w:color="808080"/>
              <w:bottom w:val="single" w:sz="9" w:space="0" w:color="808080"/>
              <w:right w:val="single" w:sz="9" w:space="0" w:color="808080"/>
            </w:tcBorders>
            <w:vAlign w:val="center"/>
          </w:tcPr>
          <w:p w:rsidR="00D43B42" w:rsidRPr="004C4057" w:rsidRDefault="00D43B42" w:rsidP="00F57A84">
            <w:pPr>
              <w:autoSpaceDE w:val="0"/>
              <w:autoSpaceDN w:val="0"/>
              <w:adjustRightInd w:val="0"/>
              <w:spacing w:before="20" w:after="20"/>
              <w:jc w:val="center"/>
              <w:rPr>
                <w:rFonts w:ascii="Tahoma" w:hAnsi="Tahoma" w:cs="Tahoma"/>
                <w:sz w:val="18"/>
                <w:szCs w:val="18"/>
                <w:lang w:val="es"/>
              </w:rPr>
            </w:pPr>
            <w:r w:rsidRPr="004C4057">
              <w:rPr>
                <w:rFonts w:ascii="Tahoma" w:hAnsi="Tahoma" w:cs="Tahoma"/>
                <w:color w:val="000000"/>
                <w:sz w:val="18"/>
                <w:szCs w:val="18"/>
                <w:lang w:val="es"/>
              </w:rPr>
              <w:t>DIFERENCIA</w:t>
            </w:r>
          </w:p>
        </w:tc>
      </w:tr>
      <w:tr w:rsidR="00D43B42" w:rsidRPr="004C4057" w:rsidTr="00F57A84">
        <w:tblPrEx>
          <w:tblCellMar>
            <w:top w:w="0" w:type="dxa"/>
            <w:bottom w:w="0" w:type="dxa"/>
          </w:tblCellMar>
        </w:tblPrEx>
        <w:trPr>
          <w:trHeight w:val="420"/>
        </w:trPr>
        <w:tc>
          <w:tcPr>
            <w:tcW w:w="5229" w:type="dxa"/>
            <w:tcBorders>
              <w:top w:val="single" w:sz="9" w:space="0" w:color="808080"/>
              <w:left w:val="single" w:sz="9" w:space="0" w:color="808080"/>
              <w:bottom w:val="single" w:sz="9" w:space="0" w:color="808080"/>
              <w:right w:val="single" w:sz="9" w:space="0" w:color="808080"/>
            </w:tcBorders>
            <w:shd w:val="clear" w:color="auto" w:fill="E0E0E0"/>
            <w:vAlign w:val="center"/>
          </w:tcPr>
          <w:p w:rsidR="00D43B42" w:rsidRPr="004C4057" w:rsidRDefault="00D43B42" w:rsidP="00F57A84">
            <w:pPr>
              <w:autoSpaceDE w:val="0"/>
              <w:autoSpaceDN w:val="0"/>
              <w:adjustRightInd w:val="0"/>
              <w:spacing w:before="20" w:after="20"/>
              <w:rPr>
                <w:rFonts w:ascii="Tahoma" w:hAnsi="Tahoma" w:cs="Tahoma"/>
                <w:sz w:val="18"/>
                <w:szCs w:val="18"/>
                <w:lang w:val="es"/>
              </w:rPr>
            </w:pPr>
            <w:r w:rsidRPr="004C4057">
              <w:rPr>
                <w:rFonts w:ascii="Tahoma" w:hAnsi="Tahoma" w:cs="Tahoma"/>
                <w:b/>
                <w:bCs/>
                <w:color w:val="000000"/>
                <w:sz w:val="18"/>
                <w:szCs w:val="18"/>
                <w:lang w:val="es"/>
              </w:rPr>
              <w:t>* 900004 COOPERACIÓN INTERNACIONAL E INMIGRACIÓN</w:t>
            </w:r>
          </w:p>
        </w:tc>
        <w:tc>
          <w:tcPr>
            <w:tcW w:w="1140" w:type="dxa"/>
            <w:tcBorders>
              <w:top w:val="single" w:sz="9" w:space="0" w:color="808080"/>
              <w:left w:val="single" w:sz="9" w:space="0" w:color="808080"/>
              <w:bottom w:val="single" w:sz="9" w:space="0" w:color="808080"/>
              <w:right w:val="single" w:sz="9" w:space="0" w:color="808080"/>
            </w:tcBorders>
            <w:shd w:val="clear" w:color="auto" w:fill="E0E0E0"/>
            <w:vAlign w:val="center"/>
          </w:tcPr>
          <w:p w:rsidR="00D43B42" w:rsidRPr="004C4057" w:rsidRDefault="00D43B42" w:rsidP="00F57A84">
            <w:pPr>
              <w:autoSpaceDE w:val="0"/>
              <w:autoSpaceDN w:val="0"/>
              <w:adjustRightInd w:val="0"/>
              <w:spacing w:before="20" w:after="20"/>
              <w:jc w:val="center"/>
              <w:rPr>
                <w:rFonts w:ascii="Tahoma" w:hAnsi="Tahoma" w:cs="Tahoma"/>
                <w:sz w:val="18"/>
                <w:szCs w:val="18"/>
                <w:lang w:val="es"/>
              </w:rPr>
            </w:pPr>
            <w:r w:rsidRPr="004C4057">
              <w:rPr>
                <w:rFonts w:ascii="Tahoma" w:hAnsi="Tahoma" w:cs="Tahoma"/>
                <w:b/>
                <w:bCs/>
                <w:color w:val="000000"/>
                <w:sz w:val="18"/>
                <w:szCs w:val="18"/>
                <w:lang w:val="es"/>
              </w:rPr>
              <w:t>7.798.988</w:t>
            </w:r>
          </w:p>
        </w:tc>
        <w:tc>
          <w:tcPr>
            <w:tcW w:w="1140" w:type="dxa"/>
            <w:tcBorders>
              <w:top w:val="single" w:sz="9" w:space="0" w:color="808080"/>
              <w:left w:val="single" w:sz="9" w:space="0" w:color="808080"/>
              <w:bottom w:val="single" w:sz="9" w:space="0" w:color="808080"/>
              <w:right w:val="single" w:sz="9" w:space="0" w:color="808080"/>
            </w:tcBorders>
            <w:shd w:val="clear" w:color="auto" w:fill="E0E0E0"/>
            <w:vAlign w:val="center"/>
          </w:tcPr>
          <w:p w:rsidR="00D43B42" w:rsidRPr="004C4057" w:rsidRDefault="00D43B42" w:rsidP="00F57A84">
            <w:pPr>
              <w:autoSpaceDE w:val="0"/>
              <w:autoSpaceDN w:val="0"/>
              <w:adjustRightInd w:val="0"/>
              <w:spacing w:before="20" w:after="20"/>
              <w:jc w:val="center"/>
              <w:rPr>
                <w:rFonts w:ascii="Tahoma" w:hAnsi="Tahoma" w:cs="Tahoma"/>
                <w:sz w:val="18"/>
                <w:szCs w:val="18"/>
                <w:lang w:val="es"/>
              </w:rPr>
            </w:pPr>
            <w:r w:rsidRPr="004C4057">
              <w:rPr>
                <w:rFonts w:ascii="Tahoma" w:hAnsi="Tahoma" w:cs="Tahoma"/>
                <w:b/>
                <w:bCs/>
                <w:color w:val="000000"/>
                <w:sz w:val="18"/>
                <w:szCs w:val="18"/>
                <w:lang w:val="es"/>
              </w:rPr>
              <w:t>7.044.747</w:t>
            </w:r>
          </w:p>
        </w:tc>
        <w:tc>
          <w:tcPr>
            <w:tcW w:w="1280" w:type="dxa"/>
            <w:tcBorders>
              <w:top w:val="single" w:sz="9" w:space="0" w:color="808080"/>
              <w:left w:val="single" w:sz="9" w:space="0" w:color="808080"/>
              <w:bottom w:val="single" w:sz="9" w:space="0" w:color="808080"/>
              <w:right w:val="single" w:sz="9" w:space="0" w:color="808080"/>
            </w:tcBorders>
            <w:shd w:val="clear" w:color="auto" w:fill="E0E0E0"/>
            <w:vAlign w:val="center"/>
          </w:tcPr>
          <w:p w:rsidR="00D43B42" w:rsidRPr="004C4057" w:rsidRDefault="00D43B42" w:rsidP="00F57A84">
            <w:pPr>
              <w:autoSpaceDE w:val="0"/>
              <w:autoSpaceDN w:val="0"/>
              <w:adjustRightInd w:val="0"/>
              <w:spacing w:before="20" w:after="20"/>
              <w:jc w:val="center"/>
              <w:rPr>
                <w:rFonts w:ascii="Tahoma" w:hAnsi="Tahoma" w:cs="Tahoma"/>
                <w:sz w:val="18"/>
                <w:szCs w:val="18"/>
                <w:lang w:val="es"/>
              </w:rPr>
            </w:pPr>
            <w:r w:rsidRPr="004C4057">
              <w:rPr>
                <w:rFonts w:ascii="Tahoma" w:hAnsi="Tahoma" w:cs="Tahoma"/>
                <w:b/>
                <w:bCs/>
                <w:color w:val="000000"/>
                <w:sz w:val="18"/>
                <w:szCs w:val="18"/>
                <w:lang w:val="es"/>
              </w:rPr>
              <w:t>+ 754.241</w:t>
            </w:r>
          </w:p>
        </w:tc>
      </w:tr>
    </w:tbl>
    <w:p w:rsidR="00D43B42" w:rsidRPr="004C4057" w:rsidRDefault="00D43B42" w:rsidP="00D43B42">
      <w:pPr>
        <w:autoSpaceDE w:val="0"/>
        <w:autoSpaceDN w:val="0"/>
        <w:adjustRightInd w:val="0"/>
        <w:rPr>
          <w:rFonts w:ascii="Tahoma" w:hAnsi="Tahoma" w:cs="Tahoma"/>
          <w:sz w:val="18"/>
          <w:szCs w:val="18"/>
          <w:lang w:val="es"/>
        </w:rPr>
      </w:pPr>
    </w:p>
    <w:tbl>
      <w:tblPr>
        <w:tblW w:w="8789" w:type="dxa"/>
        <w:tblInd w:w="70" w:type="dxa"/>
        <w:tblLayout w:type="fixed"/>
        <w:tblCellMar>
          <w:left w:w="70" w:type="dxa"/>
          <w:right w:w="70" w:type="dxa"/>
        </w:tblCellMar>
        <w:tblLook w:val="0000" w:firstRow="0" w:lastRow="0" w:firstColumn="0" w:lastColumn="0" w:noHBand="0" w:noVBand="0"/>
      </w:tblPr>
      <w:tblGrid>
        <w:gridCol w:w="5229"/>
        <w:gridCol w:w="1140"/>
        <w:gridCol w:w="1140"/>
        <w:gridCol w:w="1280"/>
      </w:tblGrid>
      <w:tr w:rsidR="00D43B42" w:rsidRPr="004C4057" w:rsidTr="00F57A84">
        <w:tblPrEx>
          <w:tblCellMar>
            <w:top w:w="0" w:type="dxa"/>
            <w:bottom w:w="0" w:type="dxa"/>
          </w:tblCellMar>
        </w:tblPrEx>
        <w:trPr>
          <w:trHeight w:val="375"/>
        </w:trPr>
        <w:tc>
          <w:tcPr>
            <w:tcW w:w="5229" w:type="dxa"/>
            <w:tcBorders>
              <w:top w:val="single" w:sz="9" w:space="0" w:color="808080"/>
              <w:left w:val="single" w:sz="9" w:space="0" w:color="808080"/>
              <w:bottom w:val="single" w:sz="4" w:space="0" w:color="808080"/>
              <w:right w:val="single" w:sz="4" w:space="0" w:color="808080"/>
            </w:tcBorders>
            <w:vAlign w:val="center"/>
          </w:tcPr>
          <w:p w:rsidR="00D43B42" w:rsidRPr="004C4057" w:rsidRDefault="00D43B42" w:rsidP="00F57A84">
            <w:pPr>
              <w:autoSpaceDE w:val="0"/>
              <w:autoSpaceDN w:val="0"/>
              <w:adjustRightInd w:val="0"/>
              <w:spacing w:before="20" w:after="20"/>
              <w:rPr>
                <w:rFonts w:ascii="Tahoma" w:hAnsi="Tahoma" w:cs="Tahoma"/>
                <w:sz w:val="18"/>
                <w:szCs w:val="18"/>
                <w:lang w:val="es"/>
              </w:rPr>
            </w:pPr>
            <w:r w:rsidRPr="004C4057">
              <w:rPr>
                <w:rFonts w:ascii="Tahoma" w:hAnsi="Tahoma" w:cs="Tahoma"/>
                <w:color w:val="000000"/>
                <w:sz w:val="18"/>
                <w:szCs w:val="18"/>
                <w:lang w:val="es"/>
              </w:rPr>
              <w:t>PARTIDA PRESUPUESTARIA</w:t>
            </w:r>
          </w:p>
        </w:tc>
        <w:tc>
          <w:tcPr>
            <w:tcW w:w="1140" w:type="dxa"/>
            <w:tcBorders>
              <w:top w:val="single" w:sz="9" w:space="0" w:color="808080"/>
              <w:left w:val="single" w:sz="4" w:space="0" w:color="808080"/>
              <w:bottom w:val="single" w:sz="4" w:space="0" w:color="808080"/>
              <w:right w:val="single" w:sz="4" w:space="0" w:color="808080"/>
            </w:tcBorders>
            <w:vAlign w:val="center"/>
          </w:tcPr>
          <w:p w:rsidR="00D43B42" w:rsidRPr="004C4057" w:rsidRDefault="00D43B42" w:rsidP="00F57A84">
            <w:pPr>
              <w:autoSpaceDE w:val="0"/>
              <w:autoSpaceDN w:val="0"/>
              <w:adjustRightInd w:val="0"/>
              <w:spacing w:before="20" w:after="20"/>
              <w:jc w:val="center"/>
              <w:rPr>
                <w:rFonts w:ascii="Tahoma" w:hAnsi="Tahoma" w:cs="Tahoma"/>
                <w:sz w:val="18"/>
                <w:szCs w:val="18"/>
                <w:lang w:val="es"/>
              </w:rPr>
            </w:pPr>
            <w:r w:rsidRPr="004C4057">
              <w:rPr>
                <w:rFonts w:ascii="Tahoma" w:hAnsi="Tahoma" w:cs="Tahoma"/>
                <w:color w:val="000000"/>
                <w:sz w:val="18"/>
                <w:szCs w:val="18"/>
                <w:lang w:val="es"/>
              </w:rPr>
              <w:t>2018</w:t>
            </w:r>
          </w:p>
        </w:tc>
        <w:tc>
          <w:tcPr>
            <w:tcW w:w="1140" w:type="dxa"/>
            <w:tcBorders>
              <w:top w:val="single" w:sz="9" w:space="0" w:color="808080"/>
              <w:left w:val="single" w:sz="4" w:space="0" w:color="808080"/>
              <w:bottom w:val="single" w:sz="4" w:space="0" w:color="808080"/>
              <w:right w:val="single" w:sz="4" w:space="0" w:color="808080"/>
            </w:tcBorders>
            <w:vAlign w:val="center"/>
          </w:tcPr>
          <w:p w:rsidR="00D43B42" w:rsidRPr="004C4057" w:rsidRDefault="00D43B42" w:rsidP="00F57A84">
            <w:pPr>
              <w:autoSpaceDE w:val="0"/>
              <w:autoSpaceDN w:val="0"/>
              <w:adjustRightInd w:val="0"/>
              <w:spacing w:before="20" w:after="20"/>
              <w:jc w:val="center"/>
              <w:rPr>
                <w:rFonts w:ascii="Tahoma" w:hAnsi="Tahoma" w:cs="Tahoma"/>
                <w:sz w:val="18"/>
                <w:szCs w:val="18"/>
                <w:lang w:val="es"/>
              </w:rPr>
            </w:pPr>
            <w:r w:rsidRPr="004C4057">
              <w:rPr>
                <w:rFonts w:ascii="Tahoma" w:hAnsi="Tahoma" w:cs="Tahoma"/>
                <w:color w:val="000000"/>
                <w:sz w:val="18"/>
                <w:szCs w:val="18"/>
                <w:lang w:val="es"/>
              </w:rPr>
              <w:t>2017</w:t>
            </w:r>
          </w:p>
        </w:tc>
        <w:tc>
          <w:tcPr>
            <w:tcW w:w="1280" w:type="dxa"/>
            <w:tcBorders>
              <w:top w:val="single" w:sz="9" w:space="0" w:color="808080"/>
              <w:left w:val="single" w:sz="4" w:space="0" w:color="808080"/>
              <w:bottom w:val="single" w:sz="4" w:space="0" w:color="808080"/>
              <w:right w:val="single" w:sz="9" w:space="0" w:color="808080"/>
            </w:tcBorders>
            <w:vAlign w:val="center"/>
          </w:tcPr>
          <w:p w:rsidR="00D43B42" w:rsidRPr="004C4057" w:rsidRDefault="00D43B42" w:rsidP="00F57A84">
            <w:pPr>
              <w:autoSpaceDE w:val="0"/>
              <w:autoSpaceDN w:val="0"/>
              <w:adjustRightInd w:val="0"/>
              <w:spacing w:before="20" w:after="20"/>
              <w:jc w:val="center"/>
              <w:rPr>
                <w:rFonts w:ascii="Tahoma" w:hAnsi="Tahoma" w:cs="Tahoma"/>
                <w:sz w:val="18"/>
                <w:szCs w:val="18"/>
                <w:lang w:val="es"/>
              </w:rPr>
            </w:pPr>
            <w:r w:rsidRPr="004C4057">
              <w:rPr>
                <w:rFonts w:ascii="Tahoma" w:hAnsi="Tahoma" w:cs="Tahoma"/>
                <w:color w:val="000000"/>
                <w:sz w:val="18"/>
                <w:szCs w:val="18"/>
                <w:lang w:val="es"/>
              </w:rPr>
              <w:t>DIFERENCIA</w:t>
            </w:r>
          </w:p>
        </w:tc>
      </w:tr>
      <w:tr w:rsidR="00D43B42" w:rsidRPr="004C4057" w:rsidTr="00F57A84">
        <w:tblPrEx>
          <w:tblCellMar>
            <w:top w:w="0" w:type="dxa"/>
            <w:bottom w:w="0" w:type="dxa"/>
          </w:tblCellMar>
        </w:tblPrEx>
        <w:trPr>
          <w:trHeight w:val="375"/>
        </w:trPr>
        <w:tc>
          <w:tcPr>
            <w:tcW w:w="5229" w:type="dxa"/>
            <w:tcBorders>
              <w:top w:val="single" w:sz="9" w:space="0" w:color="808080"/>
              <w:left w:val="single" w:sz="9" w:space="0" w:color="808080"/>
              <w:bottom w:val="single" w:sz="9" w:space="0" w:color="808080"/>
              <w:right w:val="single" w:sz="9" w:space="0" w:color="808080"/>
            </w:tcBorders>
            <w:vAlign w:val="center"/>
          </w:tcPr>
          <w:p w:rsidR="00D43B42" w:rsidRPr="004C4057" w:rsidRDefault="00D43B42" w:rsidP="00F57A84">
            <w:pPr>
              <w:autoSpaceDE w:val="0"/>
              <w:autoSpaceDN w:val="0"/>
              <w:adjustRightInd w:val="0"/>
              <w:spacing w:before="20" w:after="20"/>
              <w:rPr>
                <w:rFonts w:ascii="Tahoma" w:hAnsi="Tahoma" w:cs="Tahoma"/>
                <w:sz w:val="18"/>
                <w:szCs w:val="18"/>
                <w:lang w:val="es"/>
              </w:rPr>
            </w:pPr>
            <w:r w:rsidRPr="004C4057">
              <w:rPr>
                <w:rFonts w:ascii="Tahoma" w:hAnsi="Tahoma" w:cs="Tahoma"/>
                <w:color w:val="000000"/>
                <w:sz w:val="18"/>
                <w:szCs w:val="18"/>
                <w:lang w:val="es"/>
              </w:rPr>
              <w:t>900004 91100 4819 143105 Fondo 0,7% IRPF. Cooperación internacional al desarrollo</w:t>
            </w:r>
          </w:p>
        </w:tc>
        <w:tc>
          <w:tcPr>
            <w:tcW w:w="1140" w:type="dxa"/>
            <w:tcBorders>
              <w:top w:val="single" w:sz="9" w:space="0" w:color="808080"/>
              <w:left w:val="single" w:sz="9" w:space="0" w:color="808080"/>
              <w:bottom w:val="single" w:sz="9" w:space="0" w:color="808080"/>
              <w:right w:val="single" w:sz="9" w:space="0" w:color="808080"/>
            </w:tcBorders>
            <w:vAlign w:val="center"/>
          </w:tcPr>
          <w:p w:rsidR="00D43B42" w:rsidRPr="004C4057" w:rsidRDefault="00D43B42" w:rsidP="00F57A84">
            <w:pPr>
              <w:autoSpaceDE w:val="0"/>
              <w:autoSpaceDN w:val="0"/>
              <w:adjustRightInd w:val="0"/>
              <w:spacing w:before="20" w:after="20"/>
              <w:jc w:val="center"/>
              <w:rPr>
                <w:rFonts w:ascii="Tahoma" w:hAnsi="Tahoma" w:cs="Tahoma"/>
                <w:sz w:val="18"/>
                <w:szCs w:val="18"/>
                <w:lang w:val="es"/>
              </w:rPr>
            </w:pPr>
            <w:r w:rsidRPr="004C4057">
              <w:rPr>
                <w:rFonts w:ascii="Tahoma" w:hAnsi="Tahoma" w:cs="Tahoma"/>
                <w:color w:val="000000"/>
                <w:sz w:val="18"/>
                <w:szCs w:val="18"/>
                <w:lang w:val="es"/>
              </w:rPr>
              <w:t>2.540.298</w:t>
            </w:r>
          </w:p>
        </w:tc>
        <w:tc>
          <w:tcPr>
            <w:tcW w:w="1140" w:type="dxa"/>
            <w:tcBorders>
              <w:top w:val="single" w:sz="9" w:space="0" w:color="808080"/>
              <w:left w:val="single" w:sz="9" w:space="0" w:color="808080"/>
              <w:bottom w:val="single" w:sz="9" w:space="0" w:color="808080"/>
              <w:right w:val="single" w:sz="9" w:space="0" w:color="808080"/>
            </w:tcBorders>
            <w:vAlign w:val="center"/>
          </w:tcPr>
          <w:p w:rsidR="00D43B42" w:rsidRPr="004C4057" w:rsidRDefault="00D43B42" w:rsidP="00F57A84">
            <w:pPr>
              <w:autoSpaceDE w:val="0"/>
              <w:autoSpaceDN w:val="0"/>
              <w:adjustRightInd w:val="0"/>
              <w:spacing w:before="20" w:after="20"/>
              <w:jc w:val="center"/>
              <w:rPr>
                <w:rFonts w:ascii="Tahoma" w:hAnsi="Tahoma" w:cs="Tahoma"/>
                <w:sz w:val="18"/>
                <w:szCs w:val="18"/>
                <w:lang w:val="es"/>
              </w:rPr>
            </w:pPr>
            <w:r w:rsidRPr="004C4057">
              <w:rPr>
                <w:rFonts w:ascii="Tahoma" w:hAnsi="Tahoma" w:cs="Tahoma"/>
                <w:color w:val="000000"/>
                <w:sz w:val="18"/>
                <w:szCs w:val="18"/>
                <w:lang w:val="es"/>
              </w:rPr>
              <w:t>1.762.913</w:t>
            </w:r>
          </w:p>
        </w:tc>
        <w:tc>
          <w:tcPr>
            <w:tcW w:w="1280" w:type="dxa"/>
            <w:tcBorders>
              <w:top w:val="single" w:sz="9" w:space="0" w:color="808080"/>
              <w:left w:val="single" w:sz="9" w:space="0" w:color="808080"/>
              <w:bottom w:val="single" w:sz="9" w:space="0" w:color="808080"/>
              <w:right w:val="single" w:sz="9" w:space="0" w:color="808080"/>
            </w:tcBorders>
            <w:vAlign w:val="center"/>
          </w:tcPr>
          <w:p w:rsidR="00D43B42" w:rsidRPr="004C4057" w:rsidRDefault="00D43B42" w:rsidP="00F57A84">
            <w:pPr>
              <w:autoSpaceDE w:val="0"/>
              <w:autoSpaceDN w:val="0"/>
              <w:adjustRightInd w:val="0"/>
              <w:spacing w:before="20" w:after="20"/>
              <w:jc w:val="center"/>
              <w:rPr>
                <w:rFonts w:ascii="Tahoma" w:hAnsi="Tahoma" w:cs="Tahoma"/>
                <w:sz w:val="18"/>
                <w:szCs w:val="18"/>
                <w:lang w:val="es"/>
              </w:rPr>
            </w:pPr>
            <w:r w:rsidRPr="004C4057">
              <w:rPr>
                <w:rFonts w:ascii="Tahoma" w:hAnsi="Tahoma" w:cs="Tahoma"/>
                <w:color w:val="000000"/>
                <w:sz w:val="18"/>
                <w:szCs w:val="18"/>
                <w:lang w:val="es"/>
              </w:rPr>
              <w:t>777.385</w:t>
            </w:r>
          </w:p>
        </w:tc>
      </w:tr>
      <w:tr w:rsidR="00D43B42" w:rsidRPr="004C4057" w:rsidTr="00F57A84">
        <w:tblPrEx>
          <w:tblCellMar>
            <w:top w:w="0" w:type="dxa"/>
            <w:bottom w:w="0" w:type="dxa"/>
          </w:tblCellMar>
        </w:tblPrEx>
        <w:trPr>
          <w:trHeight w:val="375"/>
        </w:trPr>
        <w:tc>
          <w:tcPr>
            <w:tcW w:w="5229" w:type="dxa"/>
            <w:tcBorders>
              <w:top w:val="single" w:sz="4" w:space="0" w:color="808080"/>
              <w:left w:val="single" w:sz="9" w:space="0" w:color="808080"/>
              <w:bottom w:val="single" w:sz="9" w:space="0" w:color="808080"/>
              <w:right w:val="single" w:sz="4" w:space="0" w:color="808080"/>
            </w:tcBorders>
            <w:shd w:val="clear" w:color="auto" w:fill="E6E6E6"/>
            <w:vAlign w:val="center"/>
          </w:tcPr>
          <w:p w:rsidR="00D43B42" w:rsidRPr="004C4057" w:rsidRDefault="00D43B42" w:rsidP="00F57A84">
            <w:pPr>
              <w:autoSpaceDE w:val="0"/>
              <w:autoSpaceDN w:val="0"/>
              <w:adjustRightInd w:val="0"/>
              <w:spacing w:before="20" w:after="20"/>
              <w:rPr>
                <w:rFonts w:ascii="Tahoma" w:hAnsi="Tahoma" w:cs="Tahoma"/>
                <w:sz w:val="18"/>
                <w:szCs w:val="18"/>
                <w:lang w:val="es"/>
              </w:rPr>
            </w:pPr>
            <w:r w:rsidRPr="004C4057">
              <w:rPr>
                <w:rFonts w:ascii="Tahoma" w:hAnsi="Tahoma" w:cs="Tahoma"/>
                <w:b/>
                <w:bCs/>
                <w:color w:val="000000"/>
                <w:sz w:val="18"/>
                <w:szCs w:val="18"/>
                <w:lang w:val="es"/>
              </w:rPr>
              <w:t xml:space="preserve">TOTAL PRESUPUESTO LEY FORAL 7/2009 REGULA </w:t>
            </w:r>
            <w:smartTag w:uri="urn:schemas-microsoft-com:office:smarttags" w:element="PersonName">
              <w:smartTagPr>
                <w:attr w:name="ProductID" w:val="LA ASIGNACIￓN DE"/>
              </w:smartTagPr>
              <w:r w:rsidRPr="004C4057">
                <w:rPr>
                  <w:rFonts w:ascii="Tahoma" w:hAnsi="Tahoma" w:cs="Tahoma"/>
                  <w:b/>
                  <w:bCs/>
                  <w:color w:val="000000"/>
                  <w:sz w:val="18"/>
                  <w:szCs w:val="18"/>
                  <w:lang w:val="es"/>
                </w:rPr>
                <w:t>LA ASIGNACIÓN DE</w:t>
              </w:r>
            </w:smartTag>
            <w:r w:rsidRPr="004C4057">
              <w:rPr>
                <w:rFonts w:ascii="Tahoma" w:hAnsi="Tahoma" w:cs="Tahoma"/>
                <w:b/>
                <w:bCs/>
                <w:color w:val="000000"/>
                <w:sz w:val="18"/>
                <w:szCs w:val="18"/>
                <w:lang w:val="es"/>
              </w:rPr>
              <w:t xml:space="preserve"> </w:t>
            </w:r>
            <w:smartTag w:uri="urn:schemas-microsoft-com:office:smarttags" w:element="PersonName">
              <w:smartTagPr>
                <w:attr w:name="ProductID" w:val="LA CASILLA DE"/>
              </w:smartTagPr>
              <w:r w:rsidRPr="004C4057">
                <w:rPr>
                  <w:rFonts w:ascii="Tahoma" w:hAnsi="Tahoma" w:cs="Tahoma"/>
                  <w:b/>
                  <w:bCs/>
                  <w:color w:val="000000"/>
                  <w:sz w:val="18"/>
                  <w:szCs w:val="18"/>
                  <w:lang w:val="es"/>
                </w:rPr>
                <w:t>LA CASILLA DE</w:t>
              </w:r>
            </w:smartTag>
            <w:r w:rsidRPr="004C4057">
              <w:rPr>
                <w:rFonts w:ascii="Tahoma" w:hAnsi="Tahoma" w:cs="Tahoma"/>
                <w:b/>
                <w:bCs/>
                <w:color w:val="000000"/>
                <w:sz w:val="18"/>
                <w:szCs w:val="18"/>
                <w:lang w:val="es"/>
              </w:rPr>
              <w:t xml:space="preserve"> FINES SOCIALES</w:t>
            </w:r>
          </w:p>
        </w:tc>
        <w:tc>
          <w:tcPr>
            <w:tcW w:w="1140" w:type="dxa"/>
            <w:tcBorders>
              <w:top w:val="single" w:sz="4" w:space="0" w:color="808080"/>
              <w:left w:val="single" w:sz="4" w:space="0" w:color="808080"/>
              <w:bottom w:val="single" w:sz="9" w:space="0" w:color="808080"/>
              <w:right w:val="single" w:sz="4" w:space="0" w:color="808080"/>
            </w:tcBorders>
            <w:shd w:val="clear" w:color="auto" w:fill="E6E6E6"/>
            <w:vAlign w:val="center"/>
          </w:tcPr>
          <w:p w:rsidR="00D43B42" w:rsidRPr="004C4057" w:rsidRDefault="00D43B42" w:rsidP="00F57A84">
            <w:pPr>
              <w:autoSpaceDE w:val="0"/>
              <w:autoSpaceDN w:val="0"/>
              <w:adjustRightInd w:val="0"/>
              <w:spacing w:before="20" w:after="20"/>
              <w:jc w:val="center"/>
              <w:rPr>
                <w:rFonts w:ascii="Tahoma" w:hAnsi="Tahoma" w:cs="Tahoma"/>
                <w:sz w:val="18"/>
                <w:szCs w:val="18"/>
                <w:lang w:val="es"/>
              </w:rPr>
            </w:pPr>
            <w:r w:rsidRPr="004C4057">
              <w:rPr>
                <w:rFonts w:ascii="Tahoma" w:hAnsi="Tahoma" w:cs="Tahoma"/>
                <w:b/>
                <w:bCs/>
                <w:color w:val="000000"/>
                <w:sz w:val="18"/>
                <w:szCs w:val="18"/>
                <w:lang w:val="es"/>
              </w:rPr>
              <w:t>2.540.298</w:t>
            </w:r>
          </w:p>
        </w:tc>
        <w:tc>
          <w:tcPr>
            <w:tcW w:w="1140" w:type="dxa"/>
            <w:tcBorders>
              <w:top w:val="single" w:sz="4" w:space="0" w:color="808080"/>
              <w:left w:val="single" w:sz="4" w:space="0" w:color="808080"/>
              <w:bottom w:val="single" w:sz="9" w:space="0" w:color="808080"/>
              <w:right w:val="single" w:sz="4" w:space="0" w:color="808080"/>
            </w:tcBorders>
            <w:shd w:val="clear" w:color="auto" w:fill="E6E6E6"/>
            <w:vAlign w:val="center"/>
          </w:tcPr>
          <w:p w:rsidR="00D43B42" w:rsidRPr="004C4057" w:rsidRDefault="00D43B42" w:rsidP="00F57A84">
            <w:pPr>
              <w:autoSpaceDE w:val="0"/>
              <w:autoSpaceDN w:val="0"/>
              <w:adjustRightInd w:val="0"/>
              <w:spacing w:before="20" w:after="20"/>
              <w:jc w:val="center"/>
              <w:rPr>
                <w:rFonts w:ascii="Tahoma" w:hAnsi="Tahoma" w:cs="Tahoma"/>
                <w:sz w:val="18"/>
                <w:szCs w:val="18"/>
                <w:lang w:val="es"/>
              </w:rPr>
            </w:pPr>
            <w:r w:rsidRPr="004C4057">
              <w:rPr>
                <w:rFonts w:ascii="Tahoma" w:hAnsi="Tahoma" w:cs="Tahoma"/>
                <w:b/>
                <w:bCs/>
                <w:color w:val="000000"/>
                <w:sz w:val="18"/>
                <w:szCs w:val="18"/>
                <w:lang w:val="es"/>
              </w:rPr>
              <w:t>1.762.913</w:t>
            </w:r>
          </w:p>
        </w:tc>
        <w:tc>
          <w:tcPr>
            <w:tcW w:w="1280" w:type="dxa"/>
            <w:tcBorders>
              <w:top w:val="single" w:sz="4" w:space="0" w:color="808080"/>
              <w:left w:val="single" w:sz="4" w:space="0" w:color="808080"/>
              <w:bottom w:val="single" w:sz="9" w:space="0" w:color="808080"/>
              <w:right w:val="single" w:sz="9" w:space="0" w:color="808080"/>
            </w:tcBorders>
            <w:shd w:val="clear" w:color="auto" w:fill="E6E6E6"/>
            <w:vAlign w:val="center"/>
          </w:tcPr>
          <w:p w:rsidR="00D43B42" w:rsidRPr="004C4057" w:rsidRDefault="00D43B42" w:rsidP="00F57A84">
            <w:pPr>
              <w:autoSpaceDE w:val="0"/>
              <w:autoSpaceDN w:val="0"/>
              <w:adjustRightInd w:val="0"/>
              <w:spacing w:before="20" w:after="20"/>
              <w:jc w:val="center"/>
              <w:rPr>
                <w:rFonts w:ascii="Tahoma" w:hAnsi="Tahoma" w:cs="Tahoma"/>
                <w:sz w:val="18"/>
                <w:szCs w:val="18"/>
                <w:lang w:val="es"/>
              </w:rPr>
            </w:pPr>
            <w:r w:rsidRPr="004C4057">
              <w:rPr>
                <w:rFonts w:ascii="Tahoma" w:hAnsi="Tahoma" w:cs="Tahoma"/>
                <w:b/>
                <w:bCs/>
                <w:color w:val="000000"/>
                <w:sz w:val="18"/>
                <w:szCs w:val="18"/>
                <w:lang w:val="es"/>
              </w:rPr>
              <w:t>+ 777.385</w:t>
            </w:r>
          </w:p>
        </w:tc>
      </w:tr>
    </w:tbl>
    <w:p w:rsidR="00D43B42" w:rsidRPr="004C4057" w:rsidRDefault="00D43B42" w:rsidP="00D43B42">
      <w:pPr>
        <w:autoSpaceDE w:val="0"/>
        <w:autoSpaceDN w:val="0"/>
        <w:adjustRightInd w:val="0"/>
        <w:rPr>
          <w:rFonts w:ascii="Tahoma" w:hAnsi="Tahoma" w:cs="Tahoma"/>
          <w:sz w:val="18"/>
          <w:szCs w:val="18"/>
          <w:lang w:val="es"/>
        </w:rPr>
      </w:pPr>
    </w:p>
    <w:tbl>
      <w:tblPr>
        <w:tblW w:w="8789" w:type="dxa"/>
        <w:tblInd w:w="70" w:type="dxa"/>
        <w:tblLayout w:type="fixed"/>
        <w:tblCellMar>
          <w:left w:w="70" w:type="dxa"/>
          <w:right w:w="70" w:type="dxa"/>
        </w:tblCellMar>
        <w:tblLook w:val="0000" w:firstRow="0" w:lastRow="0" w:firstColumn="0" w:lastColumn="0" w:noHBand="0" w:noVBand="0"/>
      </w:tblPr>
      <w:tblGrid>
        <w:gridCol w:w="5229"/>
        <w:gridCol w:w="1140"/>
        <w:gridCol w:w="1140"/>
        <w:gridCol w:w="1280"/>
      </w:tblGrid>
      <w:tr w:rsidR="00D43B42" w:rsidRPr="004C4057" w:rsidTr="00F57A84">
        <w:tblPrEx>
          <w:tblCellMar>
            <w:top w:w="0" w:type="dxa"/>
            <w:bottom w:w="0" w:type="dxa"/>
          </w:tblCellMar>
        </w:tblPrEx>
        <w:trPr>
          <w:trHeight w:val="435"/>
        </w:trPr>
        <w:tc>
          <w:tcPr>
            <w:tcW w:w="5229" w:type="dxa"/>
            <w:tcBorders>
              <w:top w:val="single" w:sz="9" w:space="0" w:color="808080"/>
              <w:left w:val="single" w:sz="9" w:space="0" w:color="808080"/>
              <w:bottom w:val="single" w:sz="4" w:space="0" w:color="808080"/>
              <w:right w:val="single" w:sz="4" w:space="0" w:color="808080"/>
            </w:tcBorders>
            <w:shd w:val="clear" w:color="auto" w:fill="FFFFFF"/>
            <w:vAlign w:val="center"/>
          </w:tcPr>
          <w:p w:rsidR="00D43B42" w:rsidRPr="004C4057" w:rsidRDefault="00D43B42" w:rsidP="00F57A84">
            <w:pPr>
              <w:autoSpaceDE w:val="0"/>
              <w:autoSpaceDN w:val="0"/>
              <w:adjustRightInd w:val="0"/>
              <w:spacing w:before="20" w:after="20"/>
              <w:rPr>
                <w:rFonts w:ascii="Tahoma" w:hAnsi="Tahoma" w:cs="Tahoma"/>
                <w:sz w:val="18"/>
                <w:szCs w:val="18"/>
                <w:lang w:val="es"/>
              </w:rPr>
            </w:pPr>
            <w:r w:rsidRPr="004C4057">
              <w:rPr>
                <w:rFonts w:ascii="Tahoma" w:hAnsi="Tahoma" w:cs="Tahoma"/>
                <w:b/>
                <w:bCs/>
                <w:color w:val="000000"/>
                <w:sz w:val="18"/>
                <w:szCs w:val="18"/>
                <w:lang w:val="es"/>
              </w:rPr>
              <w:t>TOTALES</w:t>
            </w:r>
          </w:p>
        </w:tc>
        <w:tc>
          <w:tcPr>
            <w:tcW w:w="1140" w:type="dxa"/>
            <w:tcBorders>
              <w:top w:val="single" w:sz="9" w:space="0" w:color="808080"/>
              <w:left w:val="single" w:sz="4" w:space="0" w:color="808080"/>
              <w:bottom w:val="single" w:sz="4" w:space="0" w:color="808080"/>
              <w:right w:val="single" w:sz="4" w:space="0" w:color="808080"/>
            </w:tcBorders>
            <w:shd w:val="clear" w:color="auto" w:fill="FFFFFF"/>
            <w:vAlign w:val="center"/>
          </w:tcPr>
          <w:p w:rsidR="00D43B42" w:rsidRPr="004C4057" w:rsidRDefault="00D43B42" w:rsidP="00F57A84">
            <w:pPr>
              <w:autoSpaceDE w:val="0"/>
              <w:autoSpaceDN w:val="0"/>
              <w:adjustRightInd w:val="0"/>
              <w:jc w:val="center"/>
              <w:rPr>
                <w:rFonts w:ascii="Tahoma" w:hAnsi="Tahoma" w:cs="Tahoma"/>
                <w:sz w:val="18"/>
                <w:szCs w:val="18"/>
                <w:lang w:val="es"/>
              </w:rPr>
            </w:pPr>
            <w:r w:rsidRPr="004C4057">
              <w:rPr>
                <w:rFonts w:ascii="Tahoma" w:hAnsi="Tahoma" w:cs="Tahoma"/>
                <w:color w:val="000000"/>
                <w:sz w:val="18"/>
                <w:szCs w:val="18"/>
                <w:lang w:val="es"/>
              </w:rPr>
              <w:t>2018</w:t>
            </w:r>
          </w:p>
        </w:tc>
        <w:tc>
          <w:tcPr>
            <w:tcW w:w="1140" w:type="dxa"/>
            <w:tcBorders>
              <w:top w:val="single" w:sz="9" w:space="0" w:color="808080"/>
              <w:left w:val="single" w:sz="4" w:space="0" w:color="808080"/>
              <w:bottom w:val="single" w:sz="4" w:space="0" w:color="808080"/>
              <w:right w:val="single" w:sz="4" w:space="0" w:color="808080"/>
            </w:tcBorders>
            <w:shd w:val="clear" w:color="auto" w:fill="FFFFFF"/>
            <w:vAlign w:val="center"/>
          </w:tcPr>
          <w:p w:rsidR="00D43B42" w:rsidRPr="004C4057" w:rsidRDefault="00D43B42" w:rsidP="00F57A84">
            <w:pPr>
              <w:autoSpaceDE w:val="0"/>
              <w:autoSpaceDN w:val="0"/>
              <w:adjustRightInd w:val="0"/>
              <w:jc w:val="center"/>
              <w:rPr>
                <w:rFonts w:ascii="Tahoma" w:hAnsi="Tahoma" w:cs="Tahoma"/>
                <w:sz w:val="18"/>
                <w:szCs w:val="18"/>
                <w:lang w:val="es"/>
              </w:rPr>
            </w:pPr>
            <w:r w:rsidRPr="004C4057">
              <w:rPr>
                <w:rFonts w:ascii="Tahoma" w:hAnsi="Tahoma" w:cs="Tahoma"/>
                <w:color w:val="000000"/>
                <w:sz w:val="18"/>
                <w:szCs w:val="18"/>
                <w:lang w:val="es"/>
              </w:rPr>
              <w:t>2017</w:t>
            </w:r>
          </w:p>
        </w:tc>
        <w:tc>
          <w:tcPr>
            <w:tcW w:w="1280" w:type="dxa"/>
            <w:tcBorders>
              <w:top w:val="single" w:sz="9" w:space="0" w:color="808080"/>
              <w:left w:val="single" w:sz="4" w:space="0" w:color="808080"/>
              <w:bottom w:val="single" w:sz="4" w:space="0" w:color="808080"/>
              <w:right w:val="single" w:sz="9" w:space="0" w:color="808080"/>
            </w:tcBorders>
            <w:shd w:val="clear" w:color="auto" w:fill="FFFFFF"/>
            <w:vAlign w:val="center"/>
          </w:tcPr>
          <w:p w:rsidR="00D43B42" w:rsidRPr="004C4057" w:rsidRDefault="00D43B42" w:rsidP="00F57A84">
            <w:pPr>
              <w:autoSpaceDE w:val="0"/>
              <w:autoSpaceDN w:val="0"/>
              <w:adjustRightInd w:val="0"/>
              <w:jc w:val="center"/>
              <w:rPr>
                <w:rFonts w:ascii="Tahoma" w:hAnsi="Tahoma" w:cs="Tahoma"/>
                <w:sz w:val="18"/>
                <w:szCs w:val="18"/>
                <w:lang w:val="es"/>
              </w:rPr>
            </w:pPr>
            <w:r w:rsidRPr="004C4057">
              <w:rPr>
                <w:rFonts w:ascii="Tahoma" w:hAnsi="Tahoma" w:cs="Tahoma"/>
                <w:color w:val="000000"/>
                <w:sz w:val="18"/>
                <w:szCs w:val="18"/>
                <w:lang w:val="es"/>
              </w:rPr>
              <w:t>DIFERENCIA</w:t>
            </w:r>
          </w:p>
        </w:tc>
      </w:tr>
      <w:tr w:rsidR="00D43B42" w:rsidRPr="004C4057" w:rsidTr="00F57A84">
        <w:tblPrEx>
          <w:tblCellMar>
            <w:top w:w="0" w:type="dxa"/>
            <w:bottom w:w="0" w:type="dxa"/>
          </w:tblCellMar>
        </w:tblPrEx>
        <w:trPr>
          <w:trHeight w:val="435"/>
        </w:trPr>
        <w:tc>
          <w:tcPr>
            <w:tcW w:w="5229" w:type="dxa"/>
            <w:tcBorders>
              <w:top w:val="single" w:sz="9" w:space="0" w:color="808080"/>
              <w:left w:val="single" w:sz="9" w:space="0" w:color="808080"/>
              <w:bottom w:val="single" w:sz="9" w:space="0" w:color="808080"/>
              <w:right w:val="single" w:sz="9" w:space="0" w:color="808080"/>
            </w:tcBorders>
            <w:shd w:val="clear" w:color="auto" w:fill="FFFFFF"/>
            <w:vAlign w:val="center"/>
          </w:tcPr>
          <w:p w:rsidR="00D43B42" w:rsidRPr="004C4057" w:rsidRDefault="00D43B42" w:rsidP="00F57A84">
            <w:pPr>
              <w:autoSpaceDE w:val="0"/>
              <w:autoSpaceDN w:val="0"/>
              <w:adjustRightInd w:val="0"/>
              <w:spacing w:before="20" w:after="20"/>
              <w:rPr>
                <w:rFonts w:ascii="Tahoma" w:hAnsi="Tahoma" w:cs="Tahoma"/>
                <w:sz w:val="18"/>
                <w:szCs w:val="18"/>
                <w:lang w:val="es"/>
              </w:rPr>
            </w:pPr>
            <w:r w:rsidRPr="004C4057">
              <w:rPr>
                <w:rFonts w:ascii="Tahoma" w:hAnsi="Tahoma" w:cs="Tahoma"/>
                <w:b/>
                <w:bCs/>
                <w:color w:val="000000"/>
                <w:sz w:val="18"/>
                <w:szCs w:val="18"/>
                <w:lang w:val="es"/>
              </w:rPr>
              <w:t>TOTAL PRESUPUESTO COMPROMETIDO PARTIDAS GOBIERNO DE NAVARRA</w:t>
            </w:r>
          </w:p>
        </w:tc>
        <w:tc>
          <w:tcPr>
            <w:tcW w:w="1140" w:type="dxa"/>
            <w:tcBorders>
              <w:top w:val="single" w:sz="9" w:space="0" w:color="808080"/>
              <w:left w:val="single" w:sz="9" w:space="0" w:color="808080"/>
              <w:bottom w:val="single" w:sz="9" w:space="0" w:color="808080"/>
              <w:right w:val="single" w:sz="9" w:space="0" w:color="808080"/>
            </w:tcBorders>
            <w:shd w:val="clear" w:color="auto" w:fill="FFFFFF"/>
            <w:vAlign w:val="center"/>
          </w:tcPr>
          <w:p w:rsidR="00D43B42" w:rsidRPr="004C4057" w:rsidRDefault="00D43B42" w:rsidP="00F57A84">
            <w:pPr>
              <w:autoSpaceDE w:val="0"/>
              <w:autoSpaceDN w:val="0"/>
              <w:adjustRightInd w:val="0"/>
              <w:jc w:val="center"/>
              <w:rPr>
                <w:rFonts w:ascii="Tahoma" w:hAnsi="Tahoma" w:cs="Tahoma"/>
                <w:sz w:val="18"/>
                <w:szCs w:val="18"/>
                <w:lang w:val="es"/>
              </w:rPr>
            </w:pPr>
            <w:r w:rsidRPr="004C4057">
              <w:rPr>
                <w:rFonts w:ascii="Tahoma" w:hAnsi="Tahoma" w:cs="Tahoma"/>
                <w:b/>
                <w:bCs/>
                <w:color w:val="000000"/>
                <w:sz w:val="18"/>
                <w:szCs w:val="18"/>
                <w:lang w:val="es"/>
              </w:rPr>
              <w:t>5.258.690,00</w:t>
            </w:r>
          </w:p>
        </w:tc>
        <w:tc>
          <w:tcPr>
            <w:tcW w:w="1140" w:type="dxa"/>
            <w:tcBorders>
              <w:top w:val="single" w:sz="9" w:space="0" w:color="808080"/>
              <w:left w:val="single" w:sz="9" w:space="0" w:color="808080"/>
              <w:bottom w:val="single" w:sz="9" w:space="0" w:color="808080"/>
              <w:right w:val="single" w:sz="9" w:space="0" w:color="808080"/>
            </w:tcBorders>
            <w:shd w:val="clear" w:color="auto" w:fill="FFFFFF"/>
            <w:vAlign w:val="center"/>
          </w:tcPr>
          <w:p w:rsidR="00D43B42" w:rsidRPr="004C4057" w:rsidRDefault="00D43B42" w:rsidP="00F57A84">
            <w:pPr>
              <w:autoSpaceDE w:val="0"/>
              <w:autoSpaceDN w:val="0"/>
              <w:adjustRightInd w:val="0"/>
              <w:jc w:val="center"/>
              <w:rPr>
                <w:rFonts w:ascii="Tahoma" w:hAnsi="Tahoma" w:cs="Tahoma"/>
                <w:sz w:val="18"/>
                <w:szCs w:val="18"/>
                <w:lang w:val="es"/>
              </w:rPr>
            </w:pPr>
            <w:r w:rsidRPr="004C4057">
              <w:rPr>
                <w:rFonts w:ascii="Tahoma" w:hAnsi="Tahoma" w:cs="Tahoma"/>
                <w:b/>
                <w:bCs/>
                <w:color w:val="000000"/>
                <w:sz w:val="18"/>
                <w:szCs w:val="18"/>
                <w:lang w:val="es"/>
              </w:rPr>
              <w:t>5.281.834,00</w:t>
            </w:r>
          </w:p>
        </w:tc>
        <w:tc>
          <w:tcPr>
            <w:tcW w:w="1280" w:type="dxa"/>
            <w:tcBorders>
              <w:top w:val="single" w:sz="9" w:space="0" w:color="808080"/>
              <w:left w:val="single" w:sz="9" w:space="0" w:color="808080"/>
              <w:bottom w:val="single" w:sz="9" w:space="0" w:color="808080"/>
              <w:right w:val="single" w:sz="9" w:space="0" w:color="808080"/>
            </w:tcBorders>
            <w:shd w:val="clear" w:color="auto" w:fill="FFFFFF"/>
            <w:vAlign w:val="center"/>
          </w:tcPr>
          <w:p w:rsidR="00D43B42" w:rsidRPr="004C4057" w:rsidRDefault="00D43B42" w:rsidP="00F57A84">
            <w:pPr>
              <w:autoSpaceDE w:val="0"/>
              <w:autoSpaceDN w:val="0"/>
              <w:adjustRightInd w:val="0"/>
              <w:jc w:val="center"/>
              <w:rPr>
                <w:rFonts w:ascii="Tahoma" w:hAnsi="Tahoma" w:cs="Tahoma"/>
                <w:sz w:val="18"/>
                <w:szCs w:val="18"/>
                <w:lang w:val="es"/>
              </w:rPr>
            </w:pPr>
            <w:r w:rsidRPr="004C4057">
              <w:rPr>
                <w:rFonts w:ascii="Tahoma" w:hAnsi="Tahoma" w:cs="Tahoma"/>
                <w:b/>
                <w:bCs/>
                <w:color w:val="FF0000"/>
                <w:sz w:val="18"/>
                <w:szCs w:val="18"/>
                <w:lang w:val="es"/>
              </w:rPr>
              <w:t>- 23.144,00</w:t>
            </w:r>
          </w:p>
        </w:tc>
      </w:tr>
      <w:tr w:rsidR="00D43B42" w:rsidRPr="004C4057" w:rsidTr="00F57A84">
        <w:tblPrEx>
          <w:tblCellMar>
            <w:top w:w="0" w:type="dxa"/>
            <w:bottom w:w="0" w:type="dxa"/>
          </w:tblCellMar>
        </w:tblPrEx>
        <w:trPr>
          <w:trHeight w:val="375"/>
        </w:trPr>
        <w:tc>
          <w:tcPr>
            <w:tcW w:w="5229" w:type="dxa"/>
            <w:tcBorders>
              <w:top w:val="single" w:sz="4" w:space="0" w:color="808080"/>
              <w:left w:val="single" w:sz="9" w:space="0" w:color="808080"/>
              <w:bottom w:val="single" w:sz="9" w:space="0" w:color="808080"/>
              <w:right w:val="single" w:sz="4" w:space="0" w:color="808080"/>
            </w:tcBorders>
            <w:shd w:val="clear" w:color="auto" w:fill="FFFFFF"/>
            <w:vAlign w:val="center"/>
          </w:tcPr>
          <w:p w:rsidR="00D43B42" w:rsidRPr="004C4057" w:rsidRDefault="00D43B42" w:rsidP="00F57A84">
            <w:pPr>
              <w:autoSpaceDE w:val="0"/>
              <w:autoSpaceDN w:val="0"/>
              <w:adjustRightInd w:val="0"/>
              <w:spacing w:before="20" w:after="20"/>
              <w:rPr>
                <w:rFonts w:ascii="Tahoma" w:hAnsi="Tahoma" w:cs="Tahoma"/>
                <w:sz w:val="18"/>
                <w:szCs w:val="18"/>
                <w:lang w:val="es"/>
              </w:rPr>
            </w:pPr>
            <w:r w:rsidRPr="004C4057">
              <w:rPr>
                <w:rFonts w:ascii="Tahoma" w:hAnsi="Tahoma" w:cs="Tahoma"/>
                <w:b/>
                <w:bCs/>
                <w:color w:val="000000"/>
                <w:sz w:val="18"/>
                <w:szCs w:val="18"/>
                <w:lang w:val="es"/>
              </w:rPr>
              <w:t xml:space="preserve">TOTAL PRESUPUESTO LEY FORAL 7/2009 REGULA </w:t>
            </w:r>
            <w:smartTag w:uri="urn:schemas-microsoft-com:office:smarttags" w:element="PersonName">
              <w:smartTagPr>
                <w:attr w:name="ProductID" w:val="LA ASIGNACIￓN DE"/>
              </w:smartTagPr>
              <w:r w:rsidRPr="004C4057">
                <w:rPr>
                  <w:rFonts w:ascii="Tahoma" w:hAnsi="Tahoma" w:cs="Tahoma"/>
                  <w:b/>
                  <w:bCs/>
                  <w:color w:val="000000"/>
                  <w:sz w:val="18"/>
                  <w:szCs w:val="18"/>
                  <w:lang w:val="es"/>
                </w:rPr>
                <w:t>LA ASIGNACIÓN DE</w:t>
              </w:r>
            </w:smartTag>
            <w:r w:rsidRPr="004C4057">
              <w:rPr>
                <w:rFonts w:ascii="Tahoma" w:hAnsi="Tahoma" w:cs="Tahoma"/>
                <w:b/>
                <w:bCs/>
                <w:color w:val="000000"/>
                <w:sz w:val="18"/>
                <w:szCs w:val="18"/>
                <w:lang w:val="es"/>
              </w:rPr>
              <w:t xml:space="preserve"> </w:t>
            </w:r>
            <w:smartTag w:uri="urn:schemas-microsoft-com:office:smarttags" w:element="PersonName">
              <w:smartTagPr>
                <w:attr w:name="ProductID" w:val="LA CASILLA DE"/>
              </w:smartTagPr>
              <w:r w:rsidRPr="004C4057">
                <w:rPr>
                  <w:rFonts w:ascii="Tahoma" w:hAnsi="Tahoma" w:cs="Tahoma"/>
                  <w:b/>
                  <w:bCs/>
                  <w:color w:val="000000"/>
                  <w:sz w:val="18"/>
                  <w:szCs w:val="18"/>
                  <w:lang w:val="es"/>
                </w:rPr>
                <w:t>LA CASILLA DE</w:t>
              </w:r>
            </w:smartTag>
            <w:r w:rsidRPr="004C4057">
              <w:rPr>
                <w:rFonts w:ascii="Tahoma" w:hAnsi="Tahoma" w:cs="Tahoma"/>
                <w:b/>
                <w:bCs/>
                <w:color w:val="000000"/>
                <w:sz w:val="18"/>
                <w:szCs w:val="18"/>
                <w:lang w:val="es"/>
              </w:rPr>
              <w:t xml:space="preserve"> FINES SOCIALES</w:t>
            </w:r>
          </w:p>
        </w:tc>
        <w:tc>
          <w:tcPr>
            <w:tcW w:w="1140" w:type="dxa"/>
            <w:tcBorders>
              <w:top w:val="single" w:sz="4" w:space="0" w:color="808080"/>
              <w:left w:val="single" w:sz="4" w:space="0" w:color="808080"/>
              <w:bottom w:val="single" w:sz="9" w:space="0" w:color="808080"/>
              <w:right w:val="single" w:sz="4" w:space="0" w:color="808080"/>
            </w:tcBorders>
            <w:shd w:val="clear" w:color="auto" w:fill="FFFFFF"/>
            <w:vAlign w:val="center"/>
          </w:tcPr>
          <w:p w:rsidR="00D43B42" w:rsidRPr="004C4057" w:rsidRDefault="00D43B42" w:rsidP="00F57A84">
            <w:pPr>
              <w:autoSpaceDE w:val="0"/>
              <w:autoSpaceDN w:val="0"/>
              <w:adjustRightInd w:val="0"/>
              <w:spacing w:before="20" w:after="20"/>
              <w:jc w:val="center"/>
              <w:rPr>
                <w:rFonts w:ascii="Tahoma" w:hAnsi="Tahoma" w:cs="Tahoma"/>
                <w:sz w:val="18"/>
                <w:szCs w:val="18"/>
                <w:lang w:val="es"/>
              </w:rPr>
            </w:pPr>
            <w:r w:rsidRPr="004C4057">
              <w:rPr>
                <w:rFonts w:ascii="Tahoma" w:hAnsi="Tahoma" w:cs="Tahoma"/>
                <w:b/>
                <w:bCs/>
                <w:color w:val="000000"/>
                <w:sz w:val="18"/>
                <w:szCs w:val="18"/>
                <w:lang w:val="es"/>
              </w:rPr>
              <w:t>2.540.298</w:t>
            </w:r>
          </w:p>
        </w:tc>
        <w:tc>
          <w:tcPr>
            <w:tcW w:w="1140" w:type="dxa"/>
            <w:tcBorders>
              <w:top w:val="single" w:sz="4" w:space="0" w:color="808080"/>
              <w:left w:val="single" w:sz="4" w:space="0" w:color="808080"/>
              <w:bottom w:val="single" w:sz="9" w:space="0" w:color="808080"/>
              <w:right w:val="single" w:sz="4" w:space="0" w:color="808080"/>
            </w:tcBorders>
            <w:shd w:val="clear" w:color="auto" w:fill="FFFFFF"/>
            <w:vAlign w:val="center"/>
          </w:tcPr>
          <w:p w:rsidR="00D43B42" w:rsidRPr="004C4057" w:rsidRDefault="00D43B42" w:rsidP="00F57A84">
            <w:pPr>
              <w:autoSpaceDE w:val="0"/>
              <w:autoSpaceDN w:val="0"/>
              <w:adjustRightInd w:val="0"/>
              <w:spacing w:before="20" w:after="20"/>
              <w:jc w:val="center"/>
              <w:rPr>
                <w:rFonts w:ascii="Tahoma" w:hAnsi="Tahoma" w:cs="Tahoma"/>
                <w:sz w:val="18"/>
                <w:szCs w:val="18"/>
                <w:lang w:val="es"/>
              </w:rPr>
            </w:pPr>
            <w:r w:rsidRPr="004C4057">
              <w:rPr>
                <w:rFonts w:ascii="Tahoma" w:hAnsi="Tahoma" w:cs="Tahoma"/>
                <w:b/>
                <w:bCs/>
                <w:color w:val="000000"/>
                <w:sz w:val="18"/>
                <w:szCs w:val="18"/>
                <w:lang w:val="es"/>
              </w:rPr>
              <w:t>1.762.913</w:t>
            </w:r>
          </w:p>
        </w:tc>
        <w:tc>
          <w:tcPr>
            <w:tcW w:w="1280" w:type="dxa"/>
            <w:tcBorders>
              <w:top w:val="single" w:sz="4" w:space="0" w:color="808080"/>
              <w:left w:val="single" w:sz="4" w:space="0" w:color="808080"/>
              <w:bottom w:val="single" w:sz="9" w:space="0" w:color="808080"/>
              <w:right w:val="single" w:sz="9" w:space="0" w:color="808080"/>
            </w:tcBorders>
            <w:shd w:val="clear" w:color="auto" w:fill="FFFFFF"/>
            <w:vAlign w:val="center"/>
          </w:tcPr>
          <w:p w:rsidR="00D43B42" w:rsidRPr="004C4057" w:rsidRDefault="00D43B42" w:rsidP="00F57A84">
            <w:pPr>
              <w:autoSpaceDE w:val="0"/>
              <w:autoSpaceDN w:val="0"/>
              <w:adjustRightInd w:val="0"/>
              <w:spacing w:before="20" w:after="20"/>
              <w:jc w:val="center"/>
              <w:rPr>
                <w:rFonts w:ascii="Tahoma" w:hAnsi="Tahoma" w:cs="Tahoma"/>
                <w:sz w:val="18"/>
                <w:szCs w:val="18"/>
                <w:lang w:val="es"/>
              </w:rPr>
            </w:pPr>
            <w:r w:rsidRPr="004C4057">
              <w:rPr>
                <w:rFonts w:ascii="Tahoma" w:hAnsi="Tahoma" w:cs="Tahoma"/>
                <w:b/>
                <w:bCs/>
                <w:color w:val="000000"/>
                <w:sz w:val="18"/>
                <w:szCs w:val="18"/>
                <w:lang w:val="es"/>
              </w:rPr>
              <w:t>+ 777.385</w:t>
            </w:r>
          </w:p>
        </w:tc>
      </w:tr>
      <w:tr w:rsidR="00D43B42" w:rsidRPr="004C4057" w:rsidTr="00F57A84">
        <w:tblPrEx>
          <w:tblCellMar>
            <w:top w:w="0" w:type="dxa"/>
            <w:bottom w:w="0" w:type="dxa"/>
          </w:tblCellMar>
        </w:tblPrEx>
        <w:trPr>
          <w:trHeight w:val="435"/>
        </w:trPr>
        <w:tc>
          <w:tcPr>
            <w:tcW w:w="5229" w:type="dxa"/>
            <w:tcBorders>
              <w:top w:val="single" w:sz="9" w:space="0" w:color="808080"/>
              <w:left w:val="single" w:sz="9" w:space="0" w:color="808080"/>
              <w:bottom w:val="single" w:sz="9" w:space="0" w:color="808080"/>
              <w:right w:val="single" w:sz="9" w:space="0" w:color="808080"/>
            </w:tcBorders>
            <w:shd w:val="clear" w:color="auto" w:fill="E6E6E6"/>
            <w:vAlign w:val="center"/>
          </w:tcPr>
          <w:p w:rsidR="00D43B42" w:rsidRPr="004C4057" w:rsidRDefault="00D43B42" w:rsidP="00F57A84">
            <w:pPr>
              <w:autoSpaceDE w:val="0"/>
              <w:autoSpaceDN w:val="0"/>
              <w:adjustRightInd w:val="0"/>
              <w:spacing w:before="20" w:after="20"/>
              <w:rPr>
                <w:rFonts w:ascii="Tahoma" w:hAnsi="Tahoma" w:cs="Tahoma"/>
                <w:sz w:val="18"/>
                <w:szCs w:val="18"/>
                <w:lang w:val="es"/>
              </w:rPr>
            </w:pPr>
            <w:r w:rsidRPr="004C4057">
              <w:rPr>
                <w:rFonts w:ascii="Tahoma" w:hAnsi="Tahoma" w:cs="Tahoma"/>
                <w:b/>
                <w:bCs/>
                <w:color w:val="000000"/>
                <w:sz w:val="18"/>
                <w:szCs w:val="18"/>
                <w:lang w:val="es"/>
              </w:rPr>
              <w:t>TOTAL PRESUPUESTO COOPERACIÓN INTERNACIONAL</w:t>
            </w:r>
          </w:p>
        </w:tc>
        <w:tc>
          <w:tcPr>
            <w:tcW w:w="1140" w:type="dxa"/>
            <w:tcBorders>
              <w:top w:val="single" w:sz="9" w:space="0" w:color="808080"/>
              <w:left w:val="single" w:sz="9" w:space="0" w:color="808080"/>
              <w:bottom w:val="single" w:sz="9" w:space="0" w:color="808080"/>
              <w:right w:val="single" w:sz="9" w:space="0" w:color="808080"/>
            </w:tcBorders>
            <w:shd w:val="clear" w:color="auto" w:fill="E6E6E6"/>
            <w:vAlign w:val="center"/>
          </w:tcPr>
          <w:p w:rsidR="00D43B42" w:rsidRPr="004C4057" w:rsidRDefault="00D43B42" w:rsidP="00F57A84">
            <w:pPr>
              <w:autoSpaceDE w:val="0"/>
              <w:autoSpaceDN w:val="0"/>
              <w:adjustRightInd w:val="0"/>
              <w:spacing w:before="20" w:after="20"/>
              <w:jc w:val="center"/>
              <w:rPr>
                <w:rFonts w:ascii="Tahoma" w:hAnsi="Tahoma" w:cs="Tahoma"/>
                <w:sz w:val="18"/>
                <w:szCs w:val="18"/>
                <w:lang w:val="es"/>
              </w:rPr>
            </w:pPr>
            <w:r w:rsidRPr="004C4057">
              <w:rPr>
                <w:rFonts w:ascii="Tahoma" w:hAnsi="Tahoma" w:cs="Tahoma"/>
                <w:b/>
                <w:bCs/>
                <w:color w:val="000000"/>
                <w:sz w:val="18"/>
                <w:szCs w:val="18"/>
                <w:lang w:val="es"/>
              </w:rPr>
              <w:t>7.798.988</w:t>
            </w:r>
          </w:p>
        </w:tc>
        <w:tc>
          <w:tcPr>
            <w:tcW w:w="1140" w:type="dxa"/>
            <w:tcBorders>
              <w:top w:val="single" w:sz="9" w:space="0" w:color="808080"/>
              <w:left w:val="single" w:sz="9" w:space="0" w:color="808080"/>
              <w:bottom w:val="single" w:sz="9" w:space="0" w:color="808080"/>
              <w:right w:val="single" w:sz="9" w:space="0" w:color="808080"/>
            </w:tcBorders>
            <w:shd w:val="clear" w:color="auto" w:fill="E6E6E6"/>
            <w:vAlign w:val="center"/>
          </w:tcPr>
          <w:p w:rsidR="00D43B42" w:rsidRPr="004C4057" w:rsidRDefault="00D43B42" w:rsidP="00F57A84">
            <w:pPr>
              <w:autoSpaceDE w:val="0"/>
              <w:autoSpaceDN w:val="0"/>
              <w:adjustRightInd w:val="0"/>
              <w:spacing w:before="20" w:after="20"/>
              <w:jc w:val="center"/>
              <w:rPr>
                <w:rFonts w:ascii="Tahoma" w:hAnsi="Tahoma" w:cs="Tahoma"/>
                <w:sz w:val="18"/>
                <w:szCs w:val="18"/>
                <w:lang w:val="es"/>
              </w:rPr>
            </w:pPr>
            <w:r w:rsidRPr="004C4057">
              <w:rPr>
                <w:rFonts w:ascii="Tahoma" w:hAnsi="Tahoma" w:cs="Tahoma"/>
                <w:b/>
                <w:bCs/>
                <w:color w:val="000000"/>
                <w:sz w:val="18"/>
                <w:szCs w:val="18"/>
                <w:lang w:val="es"/>
              </w:rPr>
              <w:t>7.044.747</w:t>
            </w:r>
          </w:p>
        </w:tc>
        <w:tc>
          <w:tcPr>
            <w:tcW w:w="1280" w:type="dxa"/>
            <w:tcBorders>
              <w:top w:val="single" w:sz="9" w:space="0" w:color="808080"/>
              <w:left w:val="single" w:sz="9" w:space="0" w:color="808080"/>
              <w:bottom w:val="single" w:sz="9" w:space="0" w:color="808080"/>
              <w:right w:val="single" w:sz="9" w:space="0" w:color="808080"/>
            </w:tcBorders>
            <w:shd w:val="clear" w:color="auto" w:fill="E6E6E6"/>
            <w:vAlign w:val="center"/>
          </w:tcPr>
          <w:p w:rsidR="00D43B42" w:rsidRPr="004C4057" w:rsidRDefault="00D43B42" w:rsidP="00F57A84">
            <w:pPr>
              <w:autoSpaceDE w:val="0"/>
              <w:autoSpaceDN w:val="0"/>
              <w:adjustRightInd w:val="0"/>
              <w:spacing w:before="20" w:after="20"/>
              <w:jc w:val="center"/>
              <w:rPr>
                <w:rFonts w:ascii="Tahoma" w:hAnsi="Tahoma" w:cs="Tahoma"/>
                <w:sz w:val="18"/>
                <w:szCs w:val="18"/>
                <w:lang w:val="es"/>
              </w:rPr>
            </w:pPr>
            <w:r w:rsidRPr="004C4057">
              <w:rPr>
                <w:rFonts w:ascii="Tahoma" w:hAnsi="Tahoma" w:cs="Tahoma"/>
                <w:b/>
                <w:bCs/>
                <w:color w:val="000000"/>
                <w:sz w:val="18"/>
                <w:szCs w:val="18"/>
                <w:lang w:val="es"/>
              </w:rPr>
              <w:t>754.241</w:t>
            </w:r>
          </w:p>
        </w:tc>
      </w:tr>
    </w:tbl>
    <w:p w:rsidR="00D43B42" w:rsidRPr="00723DF5" w:rsidRDefault="00D43B42" w:rsidP="00D43B42">
      <w:pPr>
        <w:autoSpaceDE w:val="0"/>
        <w:autoSpaceDN w:val="0"/>
        <w:adjustRightInd w:val="0"/>
        <w:rPr>
          <w:rFonts w:ascii="Tahoma" w:hAnsi="Tahoma" w:cs="Tahoma"/>
          <w:lang w:val="es"/>
        </w:rPr>
      </w:pPr>
    </w:p>
    <w:p w:rsidR="00D43B42" w:rsidRPr="00C36370" w:rsidRDefault="00D43B42" w:rsidP="00C36370">
      <w:pPr>
        <w:spacing w:after="283" w:line="240" w:lineRule="auto"/>
        <w:jc w:val="both"/>
        <w:rPr>
          <w:color w:val="000000"/>
        </w:rPr>
      </w:pPr>
      <w:r w:rsidRPr="00C36370">
        <w:rPr>
          <w:color w:val="000000"/>
        </w:rPr>
        <w:t>Con fecha 13 de diciembre el Parlamento de Navarra aprobó dos enmiendas  por un total de 514.200.</w:t>
      </w:r>
    </w:p>
    <w:p w:rsidR="00D43B42" w:rsidRDefault="00D43B42" w:rsidP="00D43B42">
      <w:pPr>
        <w:autoSpaceDE w:val="0"/>
        <w:autoSpaceDN w:val="0"/>
        <w:adjustRightInd w:val="0"/>
        <w:jc w:val="both"/>
        <w:rPr>
          <w:rFonts w:ascii="Tahoma" w:hAnsi="Tahoma" w:cs="Tahoma"/>
        </w:rPr>
      </w:pPr>
    </w:p>
    <w:p w:rsidR="00C36370" w:rsidRPr="00C36370" w:rsidRDefault="00C36370" w:rsidP="00D43B42">
      <w:pPr>
        <w:autoSpaceDE w:val="0"/>
        <w:autoSpaceDN w:val="0"/>
        <w:adjustRightInd w:val="0"/>
        <w:jc w:val="both"/>
        <w:rPr>
          <w:rFonts w:ascii="Tahoma" w:hAnsi="Tahoma" w:cs="Tahoma"/>
        </w:rPr>
      </w:pPr>
    </w:p>
    <w:p w:rsidR="00D43B42" w:rsidRPr="00723DF5" w:rsidRDefault="00D43B42" w:rsidP="00D43B42">
      <w:pPr>
        <w:autoSpaceDE w:val="0"/>
        <w:autoSpaceDN w:val="0"/>
        <w:adjustRightInd w:val="0"/>
        <w:jc w:val="both"/>
        <w:rPr>
          <w:rFonts w:ascii="Tahoma" w:hAnsi="Tahoma" w:cs="Tahoma"/>
          <w:lang w:val="es"/>
        </w:rPr>
      </w:pPr>
    </w:p>
    <w:p w:rsidR="00D43B42" w:rsidRPr="00EC3661" w:rsidRDefault="00D43B42" w:rsidP="00EC3661">
      <w:pPr>
        <w:pStyle w:val="Prrafodelista"/>
        <w:numPr>
          <w:ilvl w:val="0"/>
          <w:numId w:val="7"/>
        </w:numPr>
        <w:spacing w:after="283" w:line="240" w:lineRule="auto"/>
        <w:rPr>
          <w:b/>
        </w:rPr>
      </w:pPr>
      <w:r w:rsidRPr="00EC3661">
        <w:rPr>
          <w:b/>
        </w:rPr>
        <w:lastRenderedPageBreak/>
        <w:t>ECONOMÍA ALTERNATIVA Y SOLIDARIA</w:t>
      </w:r>
    </w:p>
    <w:p w:rsidR="00D43B42" w:rsidRPr="00D43B42" w:rsidRDefault="00D43B42" w:rsidP="00D43B42">
      <w:pPr>
        <w:spacing w:after="283" w:line="240" w:lineRule="auto"/>
        <w:jc w:val="both"/>
        <w:rPr>
          <w:color w:val="000000"/>
        </w:rPr>
      </w:pPr>
      <w:r>
        <w:rPr>
          <w:color w:val="000000"/>
        </w:rPr>
        <w:t>Por parte de REAS Navarra consideramos que la apuesta por la economía solidaria debe tener más presencia en las políticas. En este sentido, las políticas económicas deben ir en coherencia de los objetivos sociales que se pretenden conseguir. Para que no sean las políticas sociales las que tengan que corregir los desajustes de un sistema que sólo piensa en los beneficios monetarios.</w:t>
      </w:r>
    </w:p>
    <w:p w:rsidR="00D43B42" w:rsidRPr="00D43B42" w:rsidRDefault="00D43B42" w:rsidP="00D43B42">
      <w:pPr>
        <w:spacing w:after="283" w:line="240" w:lineRule="auto"/>
        <w:jc w:val="both"/>
        <w:rPr>
          <w:color w:val="000000"/>
        </w:rPr>
      </w:pPr>
      <w:r>
        <w:rPr>
          <w:color w:val="000000"/>
        </w:rPr>
        <w:t>En este sentido, nos parece importante todo el trabajo que se ha llevado a cabo en el diseño del Plan Integral de Economía Social en el que hemos participado aunando esfuerzos de las familias de la economía social junto al Gobierno de Navarra. Un plan innovador a nivel estatal y que permite apostar por una economía centrada en las personas.</w:t>
      </w:r>
    </w:p>
    <w:p w:rsidR="00D43B42" w:rsidRDefault="00D43B42" w:rsidP="00D43B42">
      <w:pPr>
        <w:spacing w:after="283" w:line="240" w:lineRule="auto"/>
        <w:jc w:val="both"/>
        <w:rPr>
          <w:color w:val="000000"/>
        </w:rPr>
      </w:pPr>
      <w:r>
        <w:rPr>
          <w:color w:val="000000"/>
        </w:rPr>
        <w:t>Toca por lo tanto incidir en la ejecución de ese plan, para que responda al espíritu de transformación con el que fue diseñado. Y que el resto de políticas económicas vayan en coherencia a esta visión social de la economía.</w:t>
      </w:r>
    </w:p>
    <w:p w:rsidR="00D43B42" w:rsidRDefault="00D43B42" w:rsidP="00D43B42">
      <w:pPr>
        <w:spacing w:after="283" w:line="240" w:lineRule="auto"/>
        <w:jc w:val="both"/>
        <w:rPr>
          <w:color w:val="000000"/>
        </w:rPr>
      </w:pPr>
    </w:p>
    <w:p w:rsidR="00C36370" w:rsidRPr="00EC3661" w:rsidRDefault="00EC3661" w:rsidP="00EC3661">
      <w:pPr>
        <w:pStyle w:val="Prrafodelista"/>
        <w:numPr>
          <w:ilvl w:val="0"/>
          <w:numId w:val="7"/>
        </w:numPr>
        <w:rPr>
          <w:b/>
        </w:rPr>
      </w:pPr>
      <w:r>
        <w:rPr>
          <w:b/>
        </w:rPr>
        <w:t>INCLUSIÓN SOCIAL</w:t>
      </w:r>
    </w:p>
    <w:p w:rsidR="00D43B42" w:rsidRPr="00C36370" w:rsidRDefault="00D43B42" w:rsidP="00C36370">
      <w:pPr>
        <w:spacing w:after="283" w:line="240" w:lineRule="auto"/>
        <w:jc w:val="both"/>
        <w:rPr>
          <w:color w:val="000000"/>
        </w:rPr>
      </w:pPr>
      <w:bookmarkStart w:id="0" w:name="OLE_LINK39"/>
      <w:bookmarkStart w:id="1" w:name="OLE_LINK38"/>
      <w:bookmarkStart w:id="2" w:name="OLE_LINK37"/>
      <w:r w:rsidRPr="00C36370">
        <w:rPr>
          <w:color w:val="000000"/>
        </w:rPr>
        <w:t>Desde la Red Navarra de Lucha contra la Pobreza y la Exclusión Social queremos mostrar nuestra preocupación ante los datos recogidos en el Informe sobre la Pobreza de EAPN-ES  que reflejan que el 13 % de la población residente en la Comunidad Foral de Navarra continúa estando en situación de pobreza y/o exclusión social en el año. Son estas 83.000 personas en Navarra en riesgo de pobreza y/o exclusión social las que nos hacen exigir un mayor impulso en pro de la inclusión social para revertir una situación que ya está durando demasiado.</w:t>
      </w:r>
    </w:p>
    <w:p w:rsidR="00D43B42" w:rsidRPr="00C36370" w:rsidRDefault="00D43B42" w:rsidP="00C36370">
      <w:pPr>
        <w:spacing w:after="283" w:line="240" w:lineRule="auto"/>
        <w:jc w:val="both"/>
        <w:rPr>
          <w:color w:val="000000"/>
        </w:rPr>
      </w:pPr>
      <w:r w:rsidRPr="00C36370">
        <w:rPr>
          <w:color w:val="000000"/>
        </w:rPr>
        <w:t xml:space="preserve">Exigimos un refuerzo real de las políticas activas que faciliten y promuevan la salida de las personas de la pobreza y de la exclusión social y </w:t>
      </w:r>
      <w:r>
        <w:rPr>
          <w:color w:val="000000"/>
        </w:rPr>
        <w:t xml:space="preserve">una verdadera reorientación del presupuesto público </w:t>
      </w:r>
      <w:r w:rsidRPr="00C36370">
        <w:rPr>
          <w:color w:val="000000"/>
        </w:rPr>
        <w:t xml:space="preserve">para dar respuesta a la situación en la que nos encontramos. Porque los esfuerzos realizados hasta ahora se han centrado en la implementación de políticas públicas cuyo objetivo, muy importante, pero limitado, se ciñe casi exclusivamente al mantenimiento económico de las personas. Y porque desgraciadamente, como consecuencia de la crisis, las políticas en favor de las personas sufrieron durísimos recortes que han afectado e incrementado las situaciones de vulnerabilidad de miles de navarras y navarros; recortes que no han sido corregidos de manera </w:t>
      </w:r>
      <w:bookmarkStart w:id="3" w:name="OLE_LINK42"/>
      <w:bookmarkStart w:id="4" w:name="OLE_LINK41"/>
      <w:r w:rsidRPr="00C36370">
        <w:rPr>
          <w:color w:val="000000"/>
        </w:rPr>
        <w:t xml:space="preserve">sustantiva </w:t>
      </w:r>
      <w:bookmarkEnd w:id="3"/>
      <w:bookmarkEnd w:id="4"/>
      <w:r w:rsidRPr="00C36370">
        <w:rPr>
          <w:color w:val="000000"/>
        </w:rPr>
        <w:t>en los años precedentes, que es lo que venimos demandando las Entidades Sociales y la Ciudadanía.</w:t>
      </w:r>
    </w:p>
    <w:bookmarkEnd w:id="0"/>
    <w:bookmarkEnd w:id="1"/>
    <w:bookmarkEnd w:id="2"/>
    <w:p w:rsidR="00D43B42" w:rsidRPr="00C36370" w:rsidRDefault="00D43B42" w:rsidP="00C36370">
      <w:pPr>
        <w:spacing w:after="283" w:line="240" w:lineRule="auto"/>
        <w:jc w:val="both"/>
        <w:rPr>
          <w:color w:val="000000"/>
        </w:rPr>
      </w:pPr>
      <w:r w:rsidRPr="00C36370">
        <w:rPr>
          <w:color w:val="000000"/>
        </w:rPr>
        <w:t xml:space="preserve">Reclamamos, por tanto, que se realice una inversión pública en las personas que realmente dé respuesta a las necesidades existentes y que constituyan un auténtico cambio de rumbo. </w:t>
      </w:r>
    </w:p>
    <w:p w:rsidR="00D43B42" w:rsidRPr="00C36370" w:rsidRDefault="00D43B42" w:rsidP="00C36370">
      <w:pPr>
        <w:spacing w:after="283" w:line="240" w:lineRule="auto"/>
        <w:jc w:val="both"/>
        <w:rPr>
          <w:color w:val="000000"/>
        </w:rPr>
      </w:pPr>
      <w:r w:rsidRPr="00C36370">
        <w:rPr>
          <w:color w:val="000000"/>
        </w:rPr>
        <w:t>Reclamamos la implementación de políticas eficaces y la puesta en marcha de manera urgente de los Planes vinculados a la inclusión social: Plan de Inclusión y Plan de Familia, Infancia y Adolescencia. Y con una dotación presupuestaria acorde que efectivamente favorezca la materialización de las políticas activas y las medidas contempladas en los mismos.</w:t>
      </w:r>
    </w:p>
    <w:p w:rsidR="00D43B42" w:rsidRPr="00C36370" w:rsidRDefault="00D43B42" w:rsidP="00C36370">
      <w:pPr>
        <w:spacing w:after="283" w:line="240" w:lineRule="auto"/>
        <w:jc w:val="both"/>
        <w:rPr>
          <w:color w:val="000000"/>
        </w:rPr>
      </w:pPr>
      <w:r w:rsidRPr="00C36370">
        <w:rPr>
          <w:color w:val="000000"/>
        </w:rPr>
        <w:t>Insistimos en la necesidad de un sistema público sólido que pueda garantizar los derechos sociales y el acceso sin discriminación alguna a los servicios y prestaciones, a través de una dotación de recursos que resuelvan los déficits actuales que afectan directamente a la situación de las personas más vulnerables.</w:t>
      </w:r>
    </w:p>
    <w:p w:rsidR="00D43B42" w:rsidRPr="00C36370" w:rsidRDefault="00D43B42" w:rsidP="00C36370">
      <w:pPr>
        <w:spacing w:after="283" w:line="240" w:lineRule="auto"/>
        <w:jc w:val="both"/>
        <w:rPr>
          <w:color w:val="000000"/>
        </w:rPr>
      </w:pPr>
      <w:r w:rsidRPr="00C36370">
        <w:rPr>
          <w:color w:val="000000"/>
        </w:rPr>
        <w:lastRenderedPageBreak/>
        <w:t>Subrayamos el sector de las entidades sociales, como sector estratégico, cuya importancia social, humana y económica radica tanto en el conocimiento de la realidad social navarra de que disponen, como del trabajo que realizan. Un trabajo imprescindible, especialmente en lo que se refiere al acompañamiento de las personas con dificultades, que se encuentra en riesgo ante la infra dotación en la que sobrevive.</w:t>
      </w:r>
    </w:p>
    <w:p w:rsidR="00D43B42" w:rsidRDefault="00D43B42" w:rsidP="00C36370">
      <w:pPr>
        <w:spacing w:after="283" w:line="240" w:lineRule="auto"/>
        <w:jc w:val="both"/>
        <w:rPr>
          <w:color w:val="000000"/>
        </w:rPr>
      </w:pPr>
      <w:r w:rsidRPr="00C36370">
        <w:rPr>
          <w:color w:val="000000"/>
        </w:rPr>
        <w:t>Por último, nos gustaría manifestar nuestro firme compromiso en seguir trabajando para que se creen líneas presupuestarias específicas que garanticen el derecho a la inclusión social de todas las personas así como líneas presupuestarias que faciliten la articulación programas que vayan dirigidos a favorecer los procesos de integración e inclusión social específicamente en aquellos colectivos con mayores dificultades de acceso. Que garantice una verdadera oportunidad de inclusión social a las personas en situación de vulnerabilidad, que es responsabilidad de todos/as los/ as navarros y navarras.</w:t>
      </w:r>
    </w:p>
    <w:p w:rsidR="00C36370" w:rsidRDefault="00C36370" w:rsidP="00C36370">
      <w:pPr>
        <w:spacing w:after="283" w:line="240" w:lineRule="auto"/>
        <w:jc w:val="both"/>
        <w:rPr>
          <w:b/>
          <w:color w:val="000000"/>
        </w:rPr>
      </w:pPr>
    </w:p>
    <w:p w:rsidR="00EC3661" w:rsidRPr="00EC3661" w:rsidRDefault="00EC3661" w:rsidP="00AA6105">
      <w:pPr>
        <w:pStyle w:val="Prrafodelista"/>
        <w:numPr>
          <w:ilvl w:val="0"/>
          <w:numId w:val="7"/>
        </w:numPr>
        <w:spacing w:after="283" w:line="240" w:lineRule="auto"/>
        <w:jc w:val="both"/>
        <w:rPr>
          <w:color w:val="000000"/>
        </w:rPr>
      </w:pPr>
      <w:r w:rsidRPr="00EC3661">
        <w:rPr>
          <w:b/>
          <w:color w:val="000000"/>
        </w:rPr>
        <w:t>DISCAPACIDAD</w:t>
      </w:r>
    </w:p>
    <w:p w:rsidR="00C36370" w:rsidRPr="00EC3661" w:rsidRDefault="00C36370" w:rsidP="00EC3661">
      <w:pPr>
        <w:spacing w:after="283" w:line="240" w:lineRule="auto"/>
        <w:jc w:val="both"/>
        <w:rPr>
          <w:color w:val="000000"/>
        </w:rPr>
      </w:pPr>
      <w:r w:rsidRPr="00EC3661">
        <w:rPr>
          <w:color w:val="000000"/>
        </w:rPr>
        <w:t xml:space="preserve">Por parte de CERMIN consideramos que las políticas públicas deben ir dirigidas a la inclusión de las personas con discapacidad y los servicios se deben dotar de los recursos suficientes para dar respuesta a las necesidades de las personas con discapacidad sus familias, que el dato en Navarra es de 41.000 personas. </w:t>
      </w:r>
    </w:p>
    <w:p w:rsidR="00C36370" w:rsidRDefault="00C36370" w:rsidP="00C36370">
      <w:pPr>
        <w:spacing w:after="283" w:line="240" w:lineRule="auto"/>
        <w:jc w:val="both"/>
        <w:rPr>
          <w:color w:val="000000"/>
        </w:rPr>
      </w:pPr>
      <w:r>
        <w:rPr>
          <w:color w:val="000000"/>
        </w:rPr>
        <w:t>Aunque</w:t>
      </w:r>
      <w:r w:rsidR="00EC3661">
        <w:rPr>
          <w:color w:val="000000"/>
        </w:rPr>
        <w:t xml:space="preserve"> se valora como positivo el incremento y recuperación de partidas, a través del proceso de enmiendas en los Presupuestos Generales de Navarra para 2018, </w:t>
      </w:r>
      <w:r>
        <w:rPr>
          <w:color w:val="000000"/>
        </w:rPr>
        <w:t xml:space="preserve">exigimos una </w:t>
      </w:r>
      <w:r w:rsidR="00EC3661">
        <w:rPr>
          <w:color w:val="000000"/>
        </w:rPr>
        <w:t>apuesta fuerte en materia de discapacidad</w:t>
      </w:r>
      <w:r>
        <w:rPr>
          <w:color w:val="000000"/>
        </w:rPr>
        <w:t xml:space="preserve">, con el fin de dar </w:t>
      </w:r>
      <w:r w:rsidR="00EC3661">
        <w:rPr>
          <w:color w:val="000000"/>
        </w:rPr>
        <w:t>respuesta</w:t>
      </w:r>
      <w:r>
        <w:rPr>
          <w:color w:val="000000"/>
        </w:rPr>
        <w:t xml:space="preserve"> a las necesidades reales de las </w:t>
      </w:r>
      <w:r w:rsidR="00EC3661">
        <w:rPr>
          <w:color w:val="000000"/>
        </w:rPr>
        <w:t>personas</w:t>
      </w:r>
      <w:r>
        <w:rPr>
          <w:color w:val="000000"/>
        </w:rPr>
        <w:t xml:space="preserve"> con </w:t>
      </w:r>
      <w:r w:rsidR="00EC3661">
        <w:rPr>
          <w:color w:val="000000"/>
        </w:rPr>
        <w:t>discapacidad</w:t>
      </w:r>
      <w:r>
        <w:rPr>
          <w:color w:val="000000"/>
        </w:rPr>
        <w:t xml:space="preserve"> y sus familias así como con el cumplimiento de la normativa sobre </w:t>
      </w:r>
      <w:r w:rsidR="00EC3661">
        <w:rPr>
          <w:color w:val="000000"/>
        </w:rPr>
        <w:t>accesibilidad</w:t>
      </w:r>
      <w:r>
        <w:rPr>
          <w:color w:val="000000"/>
        </w:rPr>
        <w:t xml:space="preserve"> universal. </w:t>
      </w:r>
    </w:p>
    <w:p w:rsidR="00C36370" w:rsidRDefault="00C36370" w:rsidP="00C36370">
      <w:pPr>
        <w:spacing w:after="283" w:line="240" w:lineRule="auto"/>
        <w:jc w:val="both"/>
        <w:rPr>
          <w:color w:val="000000"/>
        </w:rPr>
      </w:pPr>
      <w:r>
        <w:rPr>
          <w:color w:val="000000"/>
        </w:rPr>
        <w:t>Actualmente</w:t>
      </w:r>
      <w:r w:rsidR="00EC3661">
        <w:rPr>
          <w:color w:val="000000"/>
        </w:rPr>
        <w:t xml:space="preserve"> consideramos que se debe revisar la Cartera de Servicios Sociales</w:t>
      </w:r>
      <w:r>
        <w:rPr>
          <w:color w:val="000000"/>
        </w:rPr>
        <w:t xml:space="preserve"> para actualizarla a las necesidades </w:t>
      </w:r>
      <w:r w:rsidR="00EC3661">
        <w:rPr>
          <w:color w:val="000000"/>
        </w:rPr>
        <w:t>reales</w:t>
      </w:r>
      <w:r>
        <w:rPr>
          <w:color w:val="000000"/>
        </w:rPr>
        <w:t xml:space="preserve"> de las personas c</w:t>
      </w:r>
      <w:r w:rsidR="00EC3661">
        <w:rPr>
          <w:color w:val="000000"/>
        </w:rPr>
        <w:t xml:space="preserve">on discapacidad y sus familias, así como ir hacia un modelo de atención socio sanitaria. Solicitamos que se dote de los recursos suficientes a los diversos servicios para conseguir una atención centrada en la persona y con calidad. </w:t>
      </w:r>
    </w:p>
    <w:p w:rsidR="00EC3661" w:rsidRDefault="00EC3661" w:rsidP="00C36370">
      <w:pPr>
        <w:spacing w:after="283" w:line="240" w:lineRule="auto"/>
        <w:jc w:val="both"/>
        <w:rPr>
          <w:color w:val="000000"/>
        </w:rPr>
      </w:pPr>
      <w:bookmarkStart w:id="5" w:name="_GoBack"/>
      <w:bookmarkEnd w:id="5"/>
      <w:r>
        <w:rPr>
          <w:color w:val="000000"/>
        </w:rPr>
        <w:t xml:space="preserve">Exigimos que se cumpla con el Real Decreto Legislativo 1/2013, de 29 de noviembre, por el que se aprueba el Texto Refundido de la Ley General de los Derechos de las personas con discapacidad y de su inclusión social, en el que se establece que todos los entornos, servicios, bienes y productos sean accesibles. </w:t>
      </w:r>
    </w:p>
    <w:p w:rsidR="00EC3661" w:rsidRPr="00C36370" w:rsidRDefault="00EC3661" w:rsidP="00C36370">
      <w:pPr>
        <w:spacing w:after="283" w:line="240" w:lineRule="auto"/>
        <w:jc w:val="both"/>
        <w:rPr>
          <w:color w:val="000000"/>
        </w:rPr>
      </w:pPr>
    </w:p>
    <w:p w:rsidR="00D43B42" w:rsidRPr="00D43B42" w:rsidRDefault="00D43B42" w:rsidP="00D43B42">
      <w:pPr>
        <w:spacing w:after="283" w:line="240" w:lineRule="auto"/>
        <w:jc w:val="both"/>
        <w:rPr>
          <w:color w:val="000000"/>
        </w:rPr>
      </w:pPr>
    </w:p>
    <w:p w:rsidR="00D43B42" w:rsidRPr="00723DF5" w:rsidRDefault="00D43B42" w:rsidP="00D43B42">
      <w:pPr>
        <w:pStyle w:val="NormalWeb"/>
        <w:spacing w:before="0" w:beforeAutospacing="0" w:after="0" w:afterAutospacing="0"/>
        <w:rPr>
          <w:rStyle w:val="Textoennegrita"/>
          <w:rFonts w:ascii="Tahoma" w:hAnsi="Tahoma" w:cs="Tahoma"/>
          <w:sz w:val="22"/>
          <w:szCs w:val="22"/>
        </w:rPr>
      </w:pPr>
    </w:p>
    <w:p w:rsidR="00D43B42" w:rsidRPr="00723DF5" w:rsidRDefault="00D43B42" w:rsidP="00D43B42">
      <w:pPr>
        <w:pStyle w:val="NormalWeb"/>
        <w:spacing w:before="0" w:beforeAutospacing="0" w:after="0" w:afterAutospacing="0"/>
        <w:rPr>
          <w:rStyle w:val="Textoennegrita"/>
          <w:rFonts w:ascii="Tahoma" w:hAnsi="Tahoma" w:cs="Tahoma"/>
          <w:sz w:val="22"/>
          <w:szCs w:val="22"/>
        </w:rPr>
      </w:pPr>
    </w:p>
    <w:p w:rsidR="00D43B42" w:rsidRPr="00723DF5" w:rsidRDefault="00D43B42" w:rsidP="00D43B42">
      <w:pPr>
        <w:pStyle w:val="NormalWeb"/>
        <w:spacing w:before="0" w:beforeAutospacing="0" w:after="0" w:afterAutospacing="0"/>
        <w:rPr>
          <w:rStyle w:val="Textoennegrita"/>
          <w:rFonts w:ascii="Tahoma" w:hAnsi="Tahoma" w:cs="Tahoma"/>
          <w:sz w:val="22"/>
          <w:szCs w:val="22"/>
        </w:rPr>
      </w:pPr>
    </w:p>
    <w:p w:rsidR="00D43B42" w:rsidRPr="00723DF5" w:rsidRDefault="00D43B42" w:rsidP="00D43B42">
      <w:pPr>
        <w:pStyle w:val="NormalWeb"/>
        <w:spacing w:before="0" w:beforeAutospacing="0" w:after="0" w:afterAutospacing="0"/>
        <w:rPr>
          <w:rStyle w:val="Textoennegrita"/>
          <w:rFonts w:ascii="Tahoma" w:hAnsi="Tahoma" w:cs="Tahoma"/>
          <w:sz w:val="22"/>
          <w:szCs w:val="22"/>
        </w:rPr>
      </w:pPr>
    </w:p>
    <w:p w:rsidR="00D43B42" w:rsidRDefault="00D43B42" w:rsidP="00D43B42">
      <w:pPr>
        <w:spacing w:after="283" w:line="240" w:lineRule="auto"/>
      </w:pPr>
    </w:p>
    <w:p w:rsidR="00D43B42" w:rsidRPr="00D43B42" w:rsidRDefault="00D43B42" w:rsidP="00D43B42">
      <w:pPr>
        <w:tabs>
          <w:tab w:val="left" w:pos="4890"/>
        </w:tabs>
        <w:jc w:val="both"/>
      </w:pPr>
    </w:p>
    <w:sectPr w:rsidR="00D43B42" w:rsidRPr="00D43B42">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E8F" w:rsidRDefault="00AA2E8F" w:rsidP="00D43B42">
      <w:pPr>
        <w:spacing w:after="0" w:line="240" w:lineRule="auto"/>
      </w:pPr>
      <w:r>
        <w:separator/>
      </w:r>
    </w:p>
  </w:endnote>
  <w:endnote w:type="continuationSeparator" w:id="0">
    <w:p w:rsidR="00AA2E8F" w:rsidRDefault="00AA2E8F" w:rsidP="00D43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8861120"/>
      <w:docPartObj>
        <w:docPartGallery w:val="Page Numbers (Bottom of Page)"/>
        <w:docPartUnique/>
      </w:docPartObj>
    </w:sdtPr>
    <w:sdtContent>
      <w:p w:rsidR="00D43B42" w:rsidRDefault="00D43B42">
        <w:pPr>
          <w:pStyle w:val="Piedepgina"/>
          <w:jc w:val="right"/>
        </w:pPr>
        <w:r>
          <w:fldChar w:fldCharType="begin"/>
        </w:r>
        <w:r>
          <w:instrText>PAGE   \* MERGEFORMAT</w:instrText>
        </w:r>
        <w:r>
          <w:fldChar w:fldCharType="separate"/>
        </w:r>
        <w:r w:rsidR="00EC3661">
          <w:rPr>
            <w:noProof/>
          </w:rPr>
          <w:t>6</w:t>
        </w:r>
        <w:r>
          <w:fldChar w:fldCharType="end"/>
        </w:r>
      </w:p>
    </w:sdtContent>
  </w:sdt>
  <w:p w:rsidR="00D43B42" w:rsidRDefault="00D43B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E8F" w:rsidRDefault="00AA2E8F" w:rsidP="00D43B42">
      <w:pPr>
        <w:spacing w:after="0" w:line="240" w:lineRule="auto"/>
      </w:pPr>
      <w:r>
        <w:separator/>
      </w:r>
    </w:p>
  </w:footnote>
  <w:footnote w:type="continuationSeparator" w:id="0">
    <w:p w:rsidR="00AA2E8F" w:rsidRDefault="00AA2E8F" w:rsidP="00D43B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54D6F"/>
    <w:multiLevelType w:val="hybridMultilevel"/>
    <w:tmpl w:val="8F66C73A"/>
    <w:lvl w:ilvl="0" w:tplc="A22CE682">
      <w:numFmt w:val="bullet"/>
      <w:lvlText w:val="-"/>
      <w:lvlJc w:val="left"/>
      <w:pPr>
        <w:ind w:left="1056" w:hanging="360"/>
      </w:pPr>
      <w:rPr>
        <w:rFonts w:ascii="Calibri Light" w:eastAsiaTheme="minorHAnsi" w:hAnsi="Calibri Light" w:cs="Times New Roman" w:hint="default"/>
        <w:sz w:val="21"/>
      </w:rPr>
    </w:lvl>
    <w:lvl w:ilvl="1" w:tplc="0C0A0003" w:tentative="1">
      <w:start w:val="1"/>
      <w:numFmt w:val="bullet"/>
      <w:lvlText w:val="o"/>
      <w:lvlJc w:val="left"/>
      <w:pPr>
        <w:ind w:left="1776" w:hanging="360"/>
      </w:pPr>
      <w:rPr>
        <w:rFonts w:ascii="Courier New" w:hAnsi="Courier New" w:cs="Courier New" w:hint="default"/>
      </w:rPr>
    </w:lvl>
    <w:lvl w:ilvl="2" w:tplc="0C0A0005" w:tentative="1">
      <w:start w:val="1"/>
      <w:numFmt w:val="bullet"/>
      <w:lvlText w:val=""/>
      <w:lvlJc w:val="left"/>
      <w:pPr>
        <w:ind w:left="2496" w:hanging="360"/>
      </w:pPr>
      <w:rPr>
        <w:rFonts w:ascii="Wingdings" w:hAnsi="Wingdings" w:hint="default"/>
      </w:rPr>
    </w:lvl>
    <w:lvl w:ilvl="3" w:tplc="0C0A0001" w:tentative="1">
      <w:start w:val="1"/>
      <w:numFmt w:val="bullet"/>
      <w:lvlText w:val=""/>
      <w:lvlJc w:val="left"/>
      <w:pPr>
        <w:ind w:left="3216" w:hanging="360"/>
      </w:pPr>
      <w:rPr>
        <w:rFonts w:ascii="Symbol" w:hAnsi="Symbol" w:hint="default"/>
      </w:rPr>
    </w:lvl>
    <w:lvl w:ilvl="4" w:tplc="0C0A0003" w:tentative="1">
      <w:start w:val="1"/>
      <w:numFmt w:val="bullet"/>
      <w:lvlText w:val="o"/>
      <w:lvlJc w:val="left"/>
      <w:pPr>
        <w:ind w:left="3936" w:hanging="360"/>
      </w:pPr>
      <w:rPr>
        <w:rFonts w:ascii="Courier New" w:hAnsi="Courier New" w:cs="Courier New" w:hint="default"/>
      </w:rPr>
    </w:lvl>
    <w:lvl w:ilvl="5" w:tplc="0C0A0005" w:tentative="1">
      <w:start w:val="1"/>
      <w:numFmt w:val="bullet"/>
      <w:lvlText w:val=""/>
      <w:lvlJc w:val="left"/>
      <w:pPr>
        <w:ind w:left="4656" w:hanging="360"/>
      </w:pPr>
      <w:rPr>
        <w:rFonts w:ascii="Wingdings" w:hAnsi="Wingdings" w:hint="default"/>
      </w:rPr>
    </w:lvl>
    <w:lvl w:ilvl="6" w:tplc="0C0A0001" w:tentative="1">
      <w:start w:val="1"/>
      <w:numFmt w:val="bullet"/>
      <w:lvlText w:val=""/>
      <w:lvlJc w:val="left"/>
      <w:pPr>
        <w:ind w:left="5376" w:hanging="360"/>
      </w:pPr>
      <w:rPr>
        <w:rFonts w:ascii="Symbol" w:hAnsi="Symbol" w:hint="default"/>
      </w:rPr>
    </w:lvl>
    <w:lvl w:ilvl="7" w:tplc="0C0A0003" w:tentative="1">
      <w:start w:val="1"/>
      <w:numFmt w:val="bullet"/>
      <w:lvlText w:val="o"/>
      <w:lvlJc w:val="left"/>
      <w:pPr>
        <w:ind w:left="6096" w:hanging="360"/>
      </w:pPr>
      <w:rPr>
        <w:rFonts w:ascii="Courier New" w:hAnsi="Courier New" w:cs="Courier New" w:hint="default"/>
      </w:rPr>
    </w:lvl>
    <w:lvl w:ilvl="8" w:tplc="0C0A0005" w:tentative="1">
      <w:start w:val="1"/>
      <w:numFmt w:val="bullet"/>
      <w:lvlText w:val=""/>
      <w:lvlJc w:val="left"/>
      <w:pPr>
        <w:ind w:left="6816" w:hanging="360"/>
      </w:pPr>
      <w:rPr>
        <w:rFonts w:ascii="Wingdings" w:hAnsi="Wingdings" w:hint="default"/>
      </w:rPr>
    </w:lvl>
  </w:abstractNum>
  <w:abstractNum w:abstractNumId="1" w15:restartNumberingAfterBreak="0">
    <w:nsid w:val="29C35267"/>
    <w:multiLevelType w:val="hybridMultilevel"/>
    <w:tmpl w:val="F7587744"/>
    <w:lvl w:ilvl="0" w:tplc="A22CE682">
      <w:numFmt w:val="bullet"/>
      <w:lvlText w:val="-"/>
      <w:lvlJc w:val="left"/>
      <w:pPr>
        <w:ind w:left="1056" w:hanging="360"/>
      </w:pPr>
      <w:rPr>
        <w:rFonts w:ascii="Calibri Light" w:eastAsiaTheme="minorHAnsi" w:hAnsi="Calibri Light" w:cs="Times New Roman" w:hint="default"/>
        <w:sz w:val="2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B240EA0"/>
    <w:multiLevelType w:val="hybridMultilevel"/>
    <w:tmpl w:val="6CAA5814"/>
    <w:lvl w:ilvl="0" w:tplc="0C0A0001">
      <w:start w:val="1"/>
      <w:numFmt w:val="bullet"/>
      <w:lvlText w:val=""/>
      <w:lvlJc w:val="left"/>
      <w:pPr>
        <w:ind w:left="1416" w:hanging="360"/>
      </w:pPr>
      <w:rPr>
        <w:rFonts w:ascii="Symbol" w:hAnsi="Symbol" w:hint="default"/>
      </w:rPr>
    </w:lvl>
    <w:lvl w:ilvl="1" w:tplc="0C0A0003" w:tentative="1">
      <w:start w:val="1"/>
      <w:numFmt w:val="bullet"/>
      <w:lvlText w:val="o"/>
      <w:lvlJc w:val="left"/>
      <w:pPr>
        <w:ind w:left="2136" w:hanging="360"/>
      </w:pPr>
      <w:rPr>
        <w:rFonts w:ascii="Courier New" w:hAnsi="Courier New" w:cs="Courier New" w:hint="default"/>
      </w:rPr>
    </w:lvl>
    <w:lvl w:ilvl="2" w:tplc="0C0A0005" w:tentative="1">
      <w:start w:val="1"/>
      <w:numFmt w:val="bullet"/>
      <w:lvlText w:val=""/>
      <w:lvlJc w:val="left"/>
      <w:pPr>
        <w:ind w:left="2856" w:hanging="360"/>
      </w:pPr>
      <w:rPr>
        <w:rFonts w:ascii="Wingdings" w:hAnsi="Wingdings" w:hint="default"/>
      </w:rPr>
    </w:lvl>
    <w:lvl w:ilvl="3" w:tplc="0C0A0001" w:tentative="1">
      <w:start w:val="1"/>
      <w:numFmt w:val="bullet"/>
      <w:lvlText w:val=""/>
      <w:lvlJc w:val="left"/>
      <w:pPr>
        <w:ind w:left="3576" w:hanging="360"/>
      </w:pPr>
      <w:rPr>
        <w:rFonts w:ascii="Symbol" w:hAnsi="Symbol" w:hint="default"/>
      </w:rPr>
    </w:lvl>
    <w:lvl w:ilvl="4" w:tplc="0C0A0003" w:tentative="1">
      <w:start w:val="1"/>
      <w:numFmt w:val="bullet"/>
      <w:lvlText w:val="o"/>
      <w:lvlJc w:val="left"/>
      <w:pPr>
        <w:ind w:left="4296" w:hanging="360"/>
      </w:pPr>
      <w:rPr>
        <w:rFonts w:ascii="Courier New" w:hAnsi="Courier New" w:cs="Courier New" w:hint="default"/>
      </w:rPr>
    </w:lvl>
    <w:lvl w:ilvl="5" w:tplc="0C0A0005" w:tentative="1">
      <w:start w:val="1"/>
      <w:numFmt w:val="bullet"/>
      <w:lvlText w:val=""/>
      <w:lvlJc w:val="left"/>
      <w:pPr>
        <w:ind w:left="5016" w:hanging="360"/>
      </w:pPr>
      <w:rPr>
        <w:rFonts w:ascii="Wingdings" w:hAnsi="Wingdings" w:hint="default"/>
      </w:rPr>
    </w:lvl>
    <w:lvl w:ilvl="6" w:tplc="0C0A0001" w:tentative="1">
      <w:start w:val="1"/>
      <w:numFmt w:val="bullet"/>
      <w:lvlText w:val=""/>
      <w:lvlJc w:val="left"/>
      <w:pPr>
        <w:ind w:left="5736" w:hanging="360"/>
      </w:pPr>
      <w:rPr>
        <w:rFonts w:ascii="Symbol" w:hAnsi="Symbol" w:hint="default"/>
      </w:rPr>
    </w:lvl>
    <w:lvl w:ilvl="7" w:tplc="0C0A0003" w:tentative="1">
      <w:start w:val="1"/>
      <w:numFmt w:val="bullet"/>
      <w:lvlText w:val="o"/>
      <w:lvlJc w:val="left"/>
      <w:pPr>
        <w:ind w:left="6456" w:hanging="360"/>
      </w:pPr>
      <w:rPr>
        <w:rFonts w:ascii="Courier New" w:hAnsi="Courier New" w:cs="Courier New" w:hint="default"/>
      </w:rPr>
    </w:lvl>
    <w:lvl w:ilvl="8" w:tplc="0C0A0005" w:tentative="1">
      <w:start w:val="1"/>
      <w:numFmt w:val="bullet"/>
      <w:lvlText w:val=""/>
      <w:lvlJc w:val="left"/>
      <w:pPr>
        <w:ind w:left="7176" w:hanging="360"/>
      </w:pPr>
      <w:rPr>
        <w:rFonts w:ascii="Wingdings" w:hAnsi="Wingdings" w:hint="default"/>
      </w:rPr>
    </w:lvl>
  </w:abstractNum>
  <w:abstractNum w:abstractNumId="3" w15:restartNumberingAfterBreak="0">
    <w:nsid w:val="566814D8"/>
    <w:multiLevelType w:val="hybridMultilevel"/>
    <w:tmpl w:val="9622F9EE"/>
    <w:lvl w:ilvl="0" w:tplc="A22CE682">
      <w:numFmt w:val="bullet"/>
      <w:lvlText w:val="-"/>
      <w:lvlJc w:val="left"/>
      <w:pPr>
        <w:ind w:left="1056" w:hanging="360"/>
      </w:pPr>
      <w:rPr>
        <w:rFonts w:ascii="Calibri Light" w:eastAsiaTheme="minorHAnsi" w:hAnsi="Calibri Light" w:cs="Times New Roman" w:hint="default"/>
        <w:sz w:val="2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9A81137"/>
    <w:multiLevelType w:val="hybridMultilevel"/>
    <w:tmpl w:val="30684C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705D04"/>
    <w:multiLevelType w:val="hybridMultilevel"/>
    <w:tmpl w:val="14A41F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3DC7EA0"/>
    <w:multiLevelType w:val="hybridMultilevel"/>
    <w:tmpl w:val="4A8E8734"/>
    <w:lvl w:ilvl="0" w:tplc="0C0A0001">
      <w:start w:val="1"/>
      <w:numFmt w:val="bullet"/>
      <w:lvlText w:val=""/>
      <w:lvlJc w:val="left"/>
      <w:pPr>
        <w:ind w:left="1056" w:hanging="360"/>
      </w:pPr>
      <w:rPr>
        <w:rFonts w:ascii="Symbol" w:hAnsi="Symbol" w:hint="default"/>
        <w:sz w:val="2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B42"/>
    <w:rsid w:val="00624AFE"/>
    <w:rsid w:val="00AA2E8F"/>
    <w:rsid w:val="00C36370"/>
    <w:rsid w:val="00D43B42"/>
    <w:rsid w:val="00EC36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4B1C1BE-0791-4779-A6ED-527612B24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uiPriority w:val="1"/>
    <w:qFormat/>
    <w:rsid w:val="00D43B42"/>
    <w:pPr>
      <w:spacing w:before="100" w:beforeAutospacing="1" w:after="100" w:afterAutospacing="1" w:line="240" w:lineRule="auto"/>
    </w:pPr>
    <w:rPr>
      <w:rFonts w:ascii="Times New Roman" w:hAnsi="Times New Roman" w:cs="Times New Roman"/>
      <w:color w:val="000000"/>
      <w:sz w:val="24"/>
      <w:szCs w:val="24"/>
      <w:lang w:eastAsia="es-ES"/>
    </w:rPr>
  </w:style>
  <w:style w:type="paragraph" w:styleId="Prrafodelista">
    <w:name w:val="List Paragraph"/>
    <w:basedOn w:val="Normal"/>
    <w:uiPriority w:val="34"/>
    <w:qFormat/>
    <w:rsid w:val="00D43B42"/>
    <w:pPr>
      <w:ind w:left="720"/>
      <w:contextualSpacing/>
    </w:pPr>
  </w:style>
  <w:style w:type="paragraph" w:styleId="Encabezado">
    <w:name w:val="header"/>
    <w:basedOn w:val="Normal"/>
    <w:link w:val="EncabezadoCar"/>
    <w:uiPriority w:val="99"/>
    <w:unhideWhenUsed/>
    <w:rsid w:val="00D43B4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3B42"/>
  </w:style>
  <w:style w:type="paragraph" w:styleId="Piedepgina">
    <w:name w:val="footer"/>
    <w:basedOn w:val="Normal"/>
    <w:link w:val="PiedepginaCar"/>
    <w:uiPriority w:val="99"/>
    <w:unhideWhenUsed/>
    <w:rsid w:val="00D43B4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3B42"/>
  </w:style>
  <w:style w:type="paragraph" w:styleId="NormalWeb">
    <w:name w:val="Normal (Web)"/>
    <w:basedOn w:val="Normal"/>
    <w:rsid w:val="00D43B4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qFormat/>
    <w:rsid w:val="00D43B42"/>
    <w:rPr>
      <w:b/>
      <w:bCs/>
    </w:rPr>
  </w:style>
  <w:style w:type="paragraph" w:styleId="Textoindependiente">
    <w:name w:val="Body Text"/>
    <w:basedOn w:val="Normal"/>
    <w:link w:val="TextoindependienteCar"/>
    <w:semiHidden/>
    <w:unhideWhenUsed/>
    <w:rsid w:val="00D43B42"/>
    <w:pPr>
      <w:suppressAutoHyphens/>
      <w:spacing w:after="0" w:line="360" w:lineRule="auto"/>
      <w:jc w:val="both"/>
    </w:pPr>
    <w:rPr>
      <w:rFonts w:ascii="Trebuchet MS" w:eastAsia="Times New Roman" w:hAnsi="Trebuchet MS" w:cs="Trebuchet MS"/>
      <w:sz w:val="24"/>
      <w:szCs w:val="24"/>
      <w:lang w:eastAsia="zh-CN"/>
    </w:rPr>
  </w:style>
  <w:style w:type="character" w:customStyle="1" w:styleId="TextoindependienteCar">
    <w:name w:val="Texto independiente Car"/>
    <w:basedOn w:val="Fuentedeprrafopredeter"/>
    <w:link w:val="Textoindependiente"/>
    <w:semiHidden/>
    <w:rsid w:val="00D43B42"/>
    <w:rPr>
      <w:rFonts w:ascii="Trebuchet MS" w:eastAsia="Times New Roman" w:hAnsi="Trebuchet MS" w:cs="Trebuchet M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659091">
      <w:bodyDiv w:val="1"/>
      <w:marLeft w:val="0"/>
      <w:marRight w:val="0"/>
      <w:marTop w:val="0"/>
      <w:marBottom w:val="0"/>
      <w:divBdr>
        <w:top w:val="none" w:sz="0" w:space="0" w:color="auto"/>
        <w:left w:val="none" w:sz="0" w:space="0" w:color="auto"/>
        <w:bottom w:val="none" w:sz="0" w:space="0" w:color="auto"/>
        <w:right w:val="none" w:sz="0" w:space="0" w:color="auto"/>
      </w:divBdr>
    </w:div>
    <w:div w:id="150701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ordinadoraongd.org/temas-clave/educacion-la-ciudadania-glob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E9518-9158-468B-ACFC-2975F9E45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2042</Words>
  <Characters>11237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cburgui</dc:creator>
  <cp:keywords/>
  <dc:description/>
  <cp:lastModifiedBy>cburgui</cp:lastModifiedBy>
  <cp:revision>1</cp:revision>
  <dcterms:created xsi:type="dcterms:W3CDTF">2017-12-18T08:00:00Z</dcterms:created>
  <dcterms:modified xsi:type="dcterms:W3CDTF">2017-12-18T08:40:00Z</dcterms:modified>
</cp:coreProperties>
</file>