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ED" w:rsidRDefault="00901E6A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5224780" cy="883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ED" w:rsidRDefault="00755EE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55EED" w:rsidRDefault="00901E6A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CAMPAÑA DE LA RENTA</w:t>
      </w:r>
    </w:p>
    <w:p w:rsidR="00755EED" w:rsidRDefault="00901E6A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Rueda de prensa </w:t>
      </w:r>
      <w:r>
        <w:rPr>
          <w:rFonts w:ascii="Tahoma" w:hAnsi="Tahoma" w:cs="Tahoma"/>
          <w:b/>
          <w:bCs/>
          <w:sz w:val="22"/>
          <w:szCs w:val="22"/>
        </w:rPr>
        <w:t xml:space="preserve">15 de abril 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sz w:val="22"/>
          <w:szCs w:val="22"/>
        </w:rPr>
        <w:t>10</w:t>
      </w:r>
      <w:r>
        <w:rPr>
          <w:rFonts w:ascii="Tahoma" w:hAnsi="Tahoma" w:cs="Tahoma"/>
          <w:b/>
          <w:bCs/>
          <w:sz w:val="22"/>
          <w:szCs w:val="22"/>
        </w:rPr>
        <w:t>:00 en la ONCE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La Coordinadora de ONGD de Navarra (CONGDN), la Red de Economía Alternativa y Solidaria (REAS Navarra), la Red Navarra de Lucha contra la Pobreza y la Exclusión Social, el Comité de Entidades Representantes de Personas con Discapacidad de Navarra (CERMIN) </w:t>
      </w:r>
      <w:r>
        <w:rPr>
          <w:rFonts w:ascii="Tahoma" w:eastAsia="Calibri" w:hAnsi="Tahoma" w:cs="Tahoma"/>
          <w:sz w:val="22"/>
          <w:szCs w:val="22"/>
        </w:rPr>
        <w:t xml:space="preserve">y Cruz Roja Navarra, invitan, por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decimosegundo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 xml:space="preserve">año consecutivo, a la ciudadanía navarra, a </w:t>
      </w:r>
      <w:r>
        <w:rPr>
          <w:rFonts w:ascii="Tahoma" w:eastAsia="Calibri" w:hAnsi="Tahoma" w:cs="Tahoma"/>
          <w:b/>
          <w:sz w:val="22"/>
          <w:szCs w:val="22"/>
        </w:rPr>
        <w:t xml:space="preserve">marcar la X de “Fines de interés Social” en su declaración de la renta, </w:t>
      </w:r>
      <w:r>
        <w:rPr>
          <w:rFonts w:ascii="Tahoma" w:eastAsia="Calibri" w:hAnsi="Tahoma" w:cs="Tahoma"/>
          <w:bCs/>
          <w:sz w:val="22"/>
          <w:szCs w:val="22"/>
        </w:rPr>
        <w:t>también</w:t>
      </w:r>
      <w:r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</w:rPr>
        <w:t xml:space="preserve">recuerda </w:t>
      </w:r>
      <w:r>
        <w:rPr>
          <w:rFonts w:ascii="Tahoma" w:eastAsia="Calibri" w:hAnsi="Tahoma" w:cs="Tahoma"/>
          <w:bCs/>
          <w:sz w:val="22"/>
          <w:szCs w:val="22"/>
        </w:rPr>
        <w:t>a las empresas</w:t>
      </w:r>
      <w:r>
        <w:rPr>
          <w:rFonts w:ascii="Tahoma" w:eastAsia="Calibri" w:hAnsi="Tahoma" w:cs="Tahoma"/>
          <w:b/>
          <w:sz w:val="22"/>
          <w:szCs w:val="22"/>
        </w:rPr>
        <w:t xml:space="preserve"> que pueden marcar la casilla del 0,7% para Fines Sociales en su declaración del Impuesto de Sociedades.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El año 202</w:t>
      </w:r>
      <w:r>
        <w:rPr>
          <w:rFonts w:ascii="Tahoma" w:eastAsia="Calibri" w:hAnsi="Tahoma" w:cs="Tahoma"/>
          <w:bCs/>
          <w:sz w:val="22"/>
          <w:szCs w:val="22"/>
        </w:rPr>
        <w:t>3</w:t>
      </w:r>
      <w:r>
        <w:rPr>
          <w:rFonts w:ascii="Tahoma" w:eastAsia="Calibri" w:hAnsi="Tahoma" w:cs="Tahoma"/>
          <w:bCs/>
          <w:sz w:val="22"/>
          <w:szCs w:val="22"/>
        </w:rPr>
        <w:t xml:space="preserve"> ha sido un año muy complicado </w:t>
      </w:r>
      <w:r>
        <w:rPr>
          <w:rFonts w:ascii="Tahoma" w:eastAsia="Calibri" w:hAnsi="Tahoma" w:cs="Tahoma"/>
          <w:bCs/>
          <w:sz w:val="22"/>
          <w:szCs w:val="22"/>
        </w:rPr>
        <w:t>arrastr</w:t>
      </w:r>
      <w:r>
        <w:rPr>
          <w:rFonts w:ascii="Tahoma" w:eastAsia="Calibri" w:hAnsi="Tahoma" w:cs="Tahoma"/>
          <w:bCs/>
          <w:sz w:val="22"/>
          <w:szCs w:val="22"/>
        </w:rPr>
        <w:t xml:space="preserve">ando una crisis social y sanitaria, agravada por las subidas de precios de básicos y acontencimientos internacionales como las guerras </w:t>
      </w:r>
      <w:r>
        <w:rPr>
          <w:rFonts w:ascii="Tahoma" w:eastAsia="Calibri" w:hAnsi="Tahoma" w:cs="Tahoma"/>
          <w:bCs/>
          <w:sz w:val="22"/>
          <w:szCs w:val="22"/>
        </w:rPr>
        <w:t xml:space="preserve">que ha incrementado la situación de emergencia, </w:t>
      </w:r>
      <w:r>
        <w:rPr>
          <w:rFonts w:ascii="Tahoma" w:eastAsia="Calibri" w:hAnsi="Tahoma" w:cs="Tahoma"/>
          <w:bCs/>
          <w:sz w:val="22"/>
          <w:szCs w:val="22"/>
        </w:rPr>
        <w:t>los desplazamientos forzosos y una profundización de la crisis económica que se traslada directamente a la ciudadanía y de forma más aguda a los colectivos más empobrecidos. Crisis que está afectando más allá de nuestro entorno y a países que padecen un de</w:t>
      </w:r>
      <w:r>
        <w:rPr>
          <w:rFonts w:ascii="Tahoma" w:eastAsia="Calibri" w:hAnsi="Tahoma" w:cs="Tahoma"/>
          <w:bCs/>
          <w:sz w:val="22"/>
          <w:szCs w:val="22"/>
        </w:rPr>
        <w:t>sequilibrio estructural y que se une a la vivida en la pandemia.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Los programas de las entidades sociales, que se llevan a cabo gracias a la contribución que la ciudadanía navarra y empresas aportan al marcar fines sociales en el pago de sus impuestos, van</w:t>
      </w:r>
      <w:r>
        <w:rPr>
          <w:rFonts w:ascii="Tahoma" w:eastAsia="Calibri" w:hAnsi="Tahoma" w:cs="Tahoma"/>
          <w:bCs/>
          <w:sz w:val="22"/>
          <w:szCs w:val="22"/>
        </w:rPr>
        <w:t xml:space="preserve"> dirigidos a las personas que más desigualdades sufren en su día a día. Estas personas parten de una situación de desventaja y son las que notablemente más están sufriendo en esta </w:t>
      </w:r>
      <w:r>
        <w:rPr>
          <w:rFonts w:ascii="Tahoma" w:eastAsia="Calibri" w:hAnsi="Tahoma" w:cs="Tahoma"/>
          <w:bCs/>
          <w:sz w:val="22"/>
          <w:szCs w:val="22"/>
        </w:rPr>
        <w:t>situación</w:t>
      </w:r>
      <w:r>
        <w:rPr>
          <w:rFonts w:ascii="Tahoma" w:eastAsia="Calibri" w:hAnsi="Tahoma" w:cs="Tahoma"/>
          <w:bCs/>
          <w:sz w:val="22"/>
          <w:szCs w:val="22"/>
        </w:rPr>
        <w:t>, viéndose agravada su situación en ámbitos como vivienda, sa</w:t>
      </w:r>
      <w:r>
        <w:rPr>
          <w:rFonts w:ascii="Tahoma" w:eastAsia="Calibri" w:hAnsi="Tahoma" w:cs="Tahoma"/>
          <w:bCs/>
          <w:sz w:val="22"/>
          <w:szCs w:val="22"/>
        </w:rPr>
        <w:t>lud, educación, trabajo...  Por ello, es tan importante seguir invirtiendo y apostando por estos proyectos que apoyan, acompañan y sustentan las vidas de estas personas.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pStyle w:val="Prrafodelista"/>
        <w:numPr>
          <w:ilvl w:val="0"/>
          <w:numId w:val="1"/>
        </w:numPr>
        <w:jc w:val="both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¿QUÉ ES LA ASIGNACIÓN FISCAL A TRAVÉS DE IRPF?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 xml:space="preserve">Cada año, la ciudadanía puede elegir </w:t>
      </w:r>
      <w:r>
        <w:rPr>
          <w:rFonts w:ascii="Tahoma" w:eastAsia="Calibri" w:hAnsi="Tahoma" w:cs="Tahoma"/>
          <w:bCs/>
          <w:sz w:val="22"/>
          <w:szCs w:val="22"/>
        </w:rPr>
        <w:t>el destino de una parte de sus impuestos. Así, al realizar la declaración de la renta, existe la opción personal de destinar el 0,7 % del IRPF (impuesto de la renta de las personas físicas) a: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ind w:left="708"/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• Fines Sociales: El 0,7% se dirige a la realización de progra</w:t>
      </w:r>
      <w:r>
        <w:rPr>
          <w:rFonts w:ascii="Tahoma" w:eastAsia="Calibri" w:hAnsi="Tahoma" w:cs="Tahoma"/>
          <w:bCs/>
          <w:sz w:val="22"/>
          <w:szCs w:val="22"/>
        </w:rPr>
        <w:t>mas y proyectos que desarrollan las entidades que trabajan en inclusión, discapacidad, medio ambiente, cooperación internacional al desarrollo etc...</w:t>
      </w:r>
    </w:p>
    <w:p w:rsidR="00755EED" w:rsidRDefault="00901E6A">
      <w:pPr>
        <w:ind w:left="708"/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• Iglesia: Optar porque el 0,7% se destine al sostenimiento económico de la Iglesia Católica.</w:t>
      </w:r>
    </w:p>
    <w:p w:rsidR="00755EED" w:rsidRDefault="00901E6A">
      <w:pPr>
        <w:ind w:left="708"/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• Ambas opci</w:t>
      </w:r>
      <w:r>
        <w:rPr>
          <w:rFonts w:ascii="Tahoma" w:eastAsia="Calibri" w:hAnsi="Tahoma" w:cs="Tahoma"/>
          <w:bCs/>
          <w:sz w:val="22"/>
          <w:szCs w:val="22"/>
        </w:rPr>
        <w:t>ones: Marcar las dos casillas anteriores de manera que ambas aportaciones sumen el 0,7% (0,35%+0,35%)</w:t>
      </w:r>
    </w:p>
    <w:p w:rsidR="00755EED" w:rsidRDefault="00901E6A">
      <w:pPr>
        <w:ind w:left="708"/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• No ejercitar ninguna opción, en cuyo caso el resultado se aplicaría a fines generales de la Comunidad Foral.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Esta asignación fiscal la regula la Ley Fo</w:t>
      </w:r>
      <w:r>
        <w:rPr>
          <w:rFonts w:ascii="Tahoma" w:eastAsia="Calibri" w:hAnsi="Tahoma" w:cs="Tahoma"/>
          <w:bCs/>
          <w:sz w:val="22"/>
          <w:szCs w:val="22"/>
        </w:rPr>
        <w:t>ral 7/2009 de 5 de junio</w:t>
      </w:r>
      <w:r>
        <w:rPr>
          <w:rFonts w:ascii="Tahoma" w:eastAsia="Calibri" w:hAnsi="Tahoma" w:cs="Tahoma"/>
          <w:bCs/>
          <w:sz w:val="22"/>
          <w:szCs w:val="22"/>
        </w:rPr>
        <w:t>, por la que se regula la asignación tributaria del 0.7 por 100 que los contribuyentes de la Comunidad Foral destinan a otros fines de interés social</w:t>
      </w: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lastRenderedPageBreak/>
        <w:t>Es importante romper falsos mitos y precisar que, al marcar la casilla, los y las</w:t>
      </w:r>
      <w:r>
        <w:rPr>
          <w:rFonts w:ascii="Tahoma" w:eastAsia="Calibri" w:hAnsi="Tahoma" w:cs="Tahoma"/>
          <w:bCs/>
          <w:sz w:val="22"/>
          <w:szCs w:val="22"/>
        </w:rPr>
        <w:t xml:space="preserve"> contribuyentes </w:t>
      </w:r>
      <w:r>
        <w:rPr>
          <w:rFonts w:ascii="Tahoma" w:eastAsia="Calibri" w:hAnsi="Tahoma" w:cs="Tahoma"/>
          <w:b/>
          <w:sz w:val="22"/>
          <w:szCs w:val="22"/>
        </w:rPr>
        <w:t>NO tienen que pagar más en su declaración, NI se les va a devolver menos</w:t>
      </w:r>
      <w:r>
        <w:rPr>
          <w:rFonts w:ascii="Tahoma" w:eastAsia="Calibri" w:hAnsi="Tahoma" w:cs="Tahoma"/>
          <w:bCs/>
          <w:sz w:val="22"/>
          <w:szCs w:val="22"/>
        </w:rPr>
        <w:t xml:space="preserve">. Simplemente están ejerciendo su derecho a decidir dónde quieren que se destine esa pequeña parte de sus impuestos. 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pStyle w:val="Prrafodelista"/>
        <w:numPr>
          <w:ilvl w:val="0"/>
          <w:numId w:val="1"/>
        </w:numPr>
        <w:jc w:val="both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¿QUÉ ES LA ASIGNACIÓN FISCAL A TRAVES DEL IMPUEST</w:t>
      </w:r>
      <w:r>
        <w:rPr>
          <w:rFonts w:ascii="Tahoma" w:eastAsia="Calibri" w:hAnsi="Tahoma" w:cs="Tahoma"/>
          <w:b/>
          <w:sz w:val="22"/>
          <w:szCs w:val="22"/>
        </w:rPr>
        <w:t>O DE SOCIEDADES</w:t>
      </w:r>
    </w:p>
    <w:p w:rsidR="00755EED" w:rsidRDefault="00755EED">
      <w:pPr>
        <w:pStyle w:val="Prrafodelista"/>
        <w:ind w:left="0"/>
        <w:jc w:val="both"/>
        <w:rPr>
          <w:rFonts w:ascii="Tahoma" w:eastAsia="Calibri" w:hAnsi="Tahoma" w:cs="Tahoma"/>
          <w:b/>
          <w:sz w:val="22"/>
          <w:szCs w:val="22"/>
        </w:rPr>
      </w:pPr>
    </w:p>
    <w:p w:rsidR="00755EED" w:rsidRDefault="00901E6A">
      <w:pPr>
        <w:pStyle w:val="Prrafodelista"/>
        <w:ind w:left="0"/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 xml:space="preserve">Las empresas tienen la opción de marcar la casilla de Fines Sociales cuando realizan la declaración del Impuesto de Sociedades, destacar que la </w:t>
      </w:r>
      <w:r>
        <w:rPr>
          <w:rFonts w:ascii="Tahoma" w:eastAsia="Calibri" w:hAnsi="Tahoma" w:cs="Tahoma"/>
          <w:b/>
          <w:sz w:val="22"/>
          <w:szCs w:val="22"/>
        </w:rPr>
        <w:t>empresa NO tiene que pagar más</w:t>
      </w:r>
      <w:r>
        <w:rPr>
          <w:rFonts w:ascii="Tahoma" w:eastAsia="Calibri" w:hAnsi="Tahoma" w:cs="Tahoma"/>
          <w:bCs/>
          <w:sz w:val="22"/>
          <w:szCs w:val="22"/>
        </w:rPr>
        <w:t xml:space="preserve"> si marca la casilla, únicamente dedica el 0,7% de sus impuestos a fines sociales. El importe resultante se suma al destinado en la declaración de IRPF y se distribuye de igual manera y forma parte del presupuesto destinado al trabajo de las entidades soci</w:t>
      </w:r>
      <w:r>
        <w:rPr>
          <w:rFonts w:ascii="Tahoma" w:eastAsia="Calibri" w:hAnsi="Tahoma" w:cs="Tahoma"/>
          <w:bCs/>
          <w:sz w:val="22"/>
          <w:szCs w:val="22"/>
        </w:rPr>
        <w:t xml:space="preserve">ales con colectivos vulnerables.  </w:t>
      </w:r>
      <w:r>
        <w:rPr>
          <w:rFonts w:ascii="Tahoma" w:eastAsia="Calibri" w:hAnsi="Tahoma" w:cs="Tahoma"/>
          <w:bCs/>
          <w:sz w:val="22"/>
          <w:szCs w:val="22"/>
        </w:rPr>
        <w:t>Esta medida está disponible para las empresas desde el año 2022.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pStyle w:val="Prrafodelista"/>
        <w:numPr>
          <w:ilvl w:val="0"/>
          <w:numId w:val="1"/>
        </w:numPr>
        <w:jc w:val="both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¿A QUÉ SE DESTINA EL DINERO?</w:t>
      </w: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 xml:space="preserve">El dinero recaudado por esta vía se destina a financiar programas sociales desarrollados con y para las personas, </w:t>
      </w:r>
      <w:r w:rsidRPr="00901E6A">
        <w:rPr>
          <w:rFonts w:ascii="Tahoma" w:eastAsia="Calibri" w:hAnsi="Tahoma" w:cs="Tahoma"/>
          <w:b/>
          <w:bCs/>
          <w:sz w:val="22"/>
          <w:szCs w:val="22"/>
        </w:rPr>
        <w:t>no para su la</w:t>
      </w:r>
      <w:r w:rsidRPr="00901E6A">
        <w:rPr>
          <w:rFonts w:ascii="Tahoma" w:eastAsia="Calibri" w:hAnsi="Tahoma" w:cs="Tahoma"/>
          <w:b/>
          <w:bCs/>
          <w:sz w:val="22"/>
          <w:szCs w:val="22"/>
        </w:rPr>
        <w:t xml:space="preserve"> estructura o funcionamiento de las propias organizaciones</w:t>
      </w:r>
      <w:r>
        <w:rPr>
          <w:rFonts w:ascii="Tahoma" w:eastAsia="Calibri" w:hAnsi="Tahoma" w:cs="Tahoma"/>
          <w:bCs/>
          <w:sz w:val="22"/>
          <w:szCs w:val="22"/>
        </w:rPr>
        <w:t>. Estos programas abarcan ámbitos como la inclusión social, la discapacidad, la exclusión, el medioambiente o la cooperación internacional...</w:t>
      </w: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El dinero recaudado a través de la casilla de fines soci</w:t>
      </w:r>
      <w:r>
        <w:rPr>
          <w:rFonts w:ascii="Tahoma" w:eastAsia="Calibri" w:hAnsi="Tahoma" w:cs="Tahoma"/>
          <w:bCs/>
          <w:sz w:val="22"/>
          <w:szCs w:val="22"/>
        </w:rPr>
        <w:t>ales se distribuye entre 5 modalidades de proyectos (ver punto 4).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eastAsia="Calibri" w:hAnsi="Tahoma" w:cs="Tahoma"/>
          <w:b/>
          <w:color w:val="000000"/>
          <w:sz w:val="22"/>
          <w:szCs w:val="22"/>
        </w:rPr>
        <w:t xml:space="preserve">DATOS Y EVOLUCIÓN DE LOS ÚLTIMOS AÑOS 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>DE IRPF</w:t>
      </w:r>
    </w:p>
    <w:p w:rsidR="00755EED" w:rsidRDefault="00901E6A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Evolución del número y porcentaje de personas declarantes y su elección e</w:t>
      </w:r>
      <w:r>
        <w:rPr>
          <w:rFonts w:ascii="Tahoma" w:hAnsi="Tahoma" w:cs="Tahoma"/>
          <w:b/>
          <w:color w:val="000000"/>
          <w:sz w:val="22"/>
          <w:szCs w:val="22"/>
        </w:rPr>
        <w:t>n las casillas</w:t>
      </w:r>
    </w:p>
    <w:tbl>
      <w:tblPr>
        <w:tblpPr w:leftFromText="141" w:rightFromText="141" w:vertAnchor="text" w:horzAnchor="page" w:tblpX="616" w:tblpY="107"/>
        <w:tblW w:w="11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967"/>
        <w:gridCol w:w="953"/>
        <w:gridCol w:w="967"/>
        <w:gridCol w:w="953"/>
        <w:gridCol w:w="967"/>
        <w:gridCol w:w="874"/>
        <w:gridCol w:w="966"/>
        <w:gridCol w:w="953"/>
        <w:gridCol w:w="967"/>
        <w:gridCol w:w="949"/>
      </w:tblGrid>
      <w:tr w:rsidR="00755EED">
        <w:trPr>
          <w:trHeight w:val="300"/>
        </w:trPr>
        <w:tc>
          <w:tcPr>
            <w:tcW w:w="1523" w:type="dxa"/>
            <w:vMerge w:val="restart"/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Datos 2018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Datos 2019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Datos 2020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Datos 2021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Datos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755EED">
        <w:trPr>
          <w:trHeight w:val="315"/>
        </w:trPr>
        <w:tc>
          <w:tcPr>
            <w:tcW w:w="1523" w:type="dxa"/>
            <w:vMerge/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(Campaña 2019)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(Campaña 2020)</w:t>
            </w:r>
          </w:p>
        </w:tc>
        <w:tc>
          <w:tcPr>
            <w:tcW w:w="18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(Campaña 2021)</w:t>
            </w:r>
          </w:p>
        </w:tc>
        <w:tc>
          <w:tcPr>
            <w:tcW w:w="1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(Campaña 2022)</w:t>
            </w:r>
          </w:p>
        </w:tc>
        <w:tc>
          <w:tcPr>
            <w:tcW w:w="19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(Campaña 2023)</w:t>
            </w:r>
          </w:p>
        </w:tc>
      </w:tr>
      <w:tr w:rsidR="00755EED">
        <w:trPr>
          <w:trHeight w:val="1624"/>
        </w:trPr>
        <w:tc>
          <w:tcPr>
            <w:tcW w:w="1523" w:type="dxa"/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declarantes</w:t>
            </w:r>
          </w:p>
        </w:tc>
        <w:tc>
          <w:tcPr>
            <w:tcW w:w="953" w:type="dxa"/>
            <w:tcBorders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967" w:type="dxa"/>
            <w:tcBorders>
              <w:bottom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declarantes</w:t>
            </w:r>
          </w:p>
        </w:tc>
        <w:tc>
          <w:tcPr>
            <w:tcW w:w="953" w:type="dxa"/>
            <w:tcBorders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967" w:type="dxa"/>
            <w:tcBorders>
              <w:bottom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declarantes</w:t>
            </w:r>
          </w:p>
        </w:tc>
        <w:tc>
          <w:tcPr>
            <w:tcW w:w="874" w:type="dxa"/>
            <w:tcBorders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966" w:type="dxa"/>
            <w:tcBorders>
              <w:bottom w:val="single" w:sz="8" w:space="0" w:color="000000"/>
              <w:right w:val="dotDash" w:sz="4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declarantes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967" w:type="dxa"/>
            <w:tcBorders>
              <w:bottom w:val="single" w:sz="8" w:space="0" w:color="000000"/>
              <w:right w:val="dotDash" w:sz="4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declarantes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textDirection w:val="btLr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porcentaje</w:t>
            </w:r>
          </w:p>
        </w:tc>
      </w:tr>
      <w:tr w:rsidR="00755EED">
        <w:trPr>
          <w:trHeight w:val="705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Ninguna opción </w:t>
            </w:r>
          </w:p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(EN BLANCO)</w:t>
            </w:r>
          </w:p>
        </w:tc>
        <w:tc>
          <w:tcPr>
            <w:tcW w:w="966" w:type="dxa"/>
            <w:tcBorders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101.147</w:t>
            </w:r>
          </w:p>
        </w:tc>
        <w:tc>
          <w:tcPr>
            <w:tcW w:w="95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20,20%</w:t>
            </w:r>
          </w:p>
        </w:tc>
        <w:tc>
          <w:tcPr>
            <w:tcW w:w="967" w:type="dxa"/>
            <w:tcBorders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109.190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21,70%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112.335</w:t>
            </w:r>
          </w:p>
        </w:tc>
        <w:tc>
          <w:tcPr>
            <w:tcW w:w="874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22,20%</w:t>
            </w:r>
          </w:p>
        </w:tc>
        <w:tc>
          <w:tcPr>
            <w:tcW w:w="966" w:type="dxa"/>
            <w:tcBorders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117.013</w:t>
            </w:r>
          </w:p>
        </w:tc>
        <w:tc>
          <w:tcPr>
            <w:tcW w:w="95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23,00%</w:t>
            </w:r>
          </w:p>
        </w:tc>
        <w:tc>
          <w:tcPr>
            <w:tcW w:w="967" w:type="dxa"/>
            <w:tcBorders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122.634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23,60%</w:t>
            </w:r>
          </w:p>
        </w:tc>
      </w:tr>
      <w:tr w:rsidR="00755EED">
        <w:trPr>
          <w:trHeight w:val="300"/>
        </w:trPr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Iglesia católica</w:t>
            </w:r>
          </w:p>
        </w:tc>
        <w:tc>
          <w:tcPr>
            <w:tcW w:w="966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121.269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24,25%</w:t>
            </w:r>
          </w:p>
        </w:tc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115.428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22,90%</w:t>
            </w:r>
          </w:p>
        </w:tc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111.532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22,05%</w:t>
            </w:r>
          </w:p>
        </w:tc>
        <w:tc>
          <w:tcPr>
            <w:tcW w:w="966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107.844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21,20%</w:t>
            </w:r>
          </w:p>
        </w:tc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105.524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20,30%</w:t>
            </w:r>
          </w:p>
        </w:tc>
      </w:tr>
      <w:tr w:rsidR="00755EED">
        <w:trPr>
          <w:trHeight w:val="315"/>
        </w:trPr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55EED">
        <w:trPr>
          <w:trHeight w:val="450"/>
        </w:trPr>
        <w:tc>
          <w:tcPr>
            <w:tcW w:w="15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FINES </w:t>
            </w:r>
          </w:p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SOCIAL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ES</w:t>
            </w:r>
          </w:p>
        </w:tc>
        <w:tc>
          <w:tcPr>
            <w:tcW w:w="966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236.730</w:t>
            </w:r>
          </w:p>
        </w:tc>
        <w:tc>
          <w:tcPr>
            <w:tcW w:w="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47,30%</w:t>
            </w:r>
          </w:p>
        </w:tc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236.662</w:t>
            </w:r>
          </w:p>
        </w:tc>
        <w:tc>
          <w:tcPr>
            <w:tcW w:w="953" w:type="dxa"/>
            <w:vMerge w:val="restart"/>
            <w:tcBorders>
              <w:bottom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46,90%</w:t>
            </w:r>
          </w:p>
        </w:tc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237.807</w:t>
            </w:r>
          </w:p>
        </w:tc>
        <w:tc>
          <w:tcPr>
            <w:tcW w:w="8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6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239.678</w:t>
            </w:r>
          </w:p>
        </w:tc>
        <w:tc>
          <w:tcPr>
            <w:tcW w:w="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47,00%</w:t>
            </w:r>
          </w:p>
        </w:tc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244.814</w:t>
            </w:r>
          </w:p>
        </w:tc>
        <w:tc>
          <w:tcPr>
            <w:tcW w:w="9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47,20%</w:t>
            </w:r>
          </w:p>
        </w:tc>
      </w:tr>
      <w:tr w:rsidR="00755EED">
        <w:trPr>
          <w:trHeight w:val="315"/>
        </w:trPr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dotDash" w:sz="4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55EED" w:rsidRDefault="00755EED">
            <w:pPr>
              <w:widowControl w:val="0"/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5EED">
        <w:trPr>
          <w:trHeight w:val="705"/>
        </w:trPr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Iglesia católica y fines sociales</w:t>
            </w:r>
          </w:p>
        </w:tc>
        <w:tc>
          <w:tcPr>
            <w:tcW w:w="966" w:type="dxa"/>
            <w:tcBorders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40.854</w:t>
            </w:r>
          </w:p>
        </w:tc>
        <w:tc>
          <w:tcPr>
            <w:tcW w:w="95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8,17%</w:t>
            </w:r>
          </w:p>
        </w:tc>
        <w:tc>
          <w:tcPr>
            <w:tcW w:w="967" w:type="dxa"/>
            <w:tcBorders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42.624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8,46%</w:t>
            </w:r>
          </w:p>
        </w:tc>
        <w:tc>
          <w:tcPr>
            <w:tcW w:w="967" w:type="dxa"/>
            <w:tcBorders>
              <w:left w:val="single" w:sz="8" w:space="0" w:color="000000"/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44.041</w:t>
            </w:r>
          </w:p>
        </w:tc>
        <w:tc>
          <w:tcPr>
            <w:tcW w:w="874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8,71%</w:t>
            </w:r>
          </w:p>
        </w:tc>
        <w:tc>
          <w:tcPr>
            <w:tcW w:w="966" w:type="dxa"/>
            <w:tcBorders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44.975</w:t>
            </w:r>
          </w:p>
        </w:tc>
        <w:tc>
          <w:tcPr>
            <w:tcW w:w="95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8,80%</w:t>
            </w:r>
          </w:p>
        </w:tc>
        <w:tc>
          <w:tcPr>
            <w:tcW w:w="967" w:type="dxa"/>
            <w:tcBorders>
              <w:right w:val="dotDash" w:sz="4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45.590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8,80%</w:t>
            </w:r>
          </w:p>
        </w:tc>
      </w:tr>
      <w:tr w:rsidR="00755EED">
        <w:trPr>
          <w:trHeight w:val="465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Decl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arantes totales*</w:t>
            </w:r>
          </w:p>
        </w:tc>
        <w:tc>
          <w:tcPr>
            <w:tcW w:w="966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953" w:type="dxa"/>
            <w:tcBorders>
              <w:top w:val="single" w:sz="8" w:space="0" w:color="000000"/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503.864</w:t>
            </w:r>
          </w:p>
        </w:tc>
        <w:tc>
          <w:tcPr>
            <w:tcW w:w="953" w:type="dxa"/>
            <w:tcBorders>
              <w:top w:val="single" w:sz="8" w:space="0" w:color="000000"/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505.715</w:t>
            </w:r>
          </w:p>
        </w:tc>
        <w:tc>
          <w:tcPr>
            <w:tcW w:w="874" w:type="dxa"/>
            <w:tcBorders>
              <w:top w:val="single" w:sz="8" w:space="0" w:color="000000"/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6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509.510</w:t>
            </w:r>
          </w:p>
        </w:tc>
        <w:tc>
          <w:tcPr>
            <w:tcW w:w="953" w:type="dxa"/>
            <w:tcBorders>
              <w:top w:val="single" w:sz="8" w:space="0" w:color="000000"/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518.562</w:t>
            </w:r>
          </w:p>
        </w:tc>
        <w:tc>
          <w:tcPr>
            <w:tcW w:w="949" w:type="dxa"/>
            <w:tcBorders>
              <w:top w:val="single" w:sz="8" w:space="0" w:color="000000"/>
              <w:left w:val="dotDash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755EED" w:rsidRDefault="00755EED">
      <w:pPr>
        <w:jc w:val="both"/>
        <w:rPr>
          <w:rFonts w:ascii="Tahoma" w:eastAsia="Calibri" w:hAnsi="Tahoma" w:cs="Tahoma"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</w:p>
    <w:p w:rsidR="00755EED" w:rsidRDefault="00901E6A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  <w:r>
        <w:rPr>
          <w:noProof/>
        </w:rPr>
        <w:drawing>
          <wp:inline distT="0" distB="0" distL="0" distR="0">
            <wp:extent cx="4572000" cy="3157855"/>
            <wp:effectExtent l="0" t="0" r="0" b="0"/>
            <wp:docPr id="2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EED" w:rsidRDefault="00755EED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</w:p>
    <w:p w:rsidR="00755EED" w:rsidRDefault="00755EED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</w:p>
    <w:p w:rsidR="00755EED" w:rsidRDefault="00901E6A">
      <w:pPr>
        <w:jc w:val="both"/>
        <w:rPr>
          <w:rFonts w:ascii="Tahoma" w:eastAsia="Calibri" w:hAnsi="Tahoma" w:cs="Tahoma"/>
          <w:b/>
          <w:sz w:val="22"/>
          <w:szCs w:val="22"/>
          <w14:ligatures w14:val="standardContextual"/>
        </w:rPr>
      </w:pPr>
      <w:r>
        <w:rPr>
          <w:rFonts w:ascii="Tahoma" w:eastAsia="Calibri" w:hAnsi="Tahoma" w:cs="Tahoma"/>
          <w:b/>
          <w:sz w:val="22"/>
          <w:szCs w:val="22"/>
          <w14:ligatures w14:val="standardContextual"/>
        </w:rPr>
        <w:t>Porcentaje de elección de la casilla por tramos de edad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tbl>
      <w:tblPr>
        <w:tblW w:w="8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1"/>
        <w:gridCol w:w="939"/>
        <w:gridCol w:w="960"/>
        <w:gridCol w:w="940"/>
        <w:gridCol w:w="960"/>
        <w:gridCol w:w="880"/>
        <w:gridCol w:w="960"/>
      </w:tblGrid>
      <w:tr w:rsidR="00755EED">
        <w:trPr>
          <w:trHeight w:val="300"/>
        </w:trPr>
        <w:tc>
          <w:tcPr>
            <w:tcW w:w="1599" w:type="dxa"/>
            <w:shd w:val="clear" w:color="auto" w:fill="auto"/>
            <w:vAlign w:val="center"/>
          </w:tcPr>
          <w:p w:rsidR="00755EED" w:rsidRDefault="00755EED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Datos 2022</w:t>
            </w:r>
          </w:p>
        </w:tc>
      </w:tr>
      <w:tr w:rsidR="00755EED">
        <w:trPr>
          <w:trHeight w:val="300"/>
        </w:trPr>
        <w:tc>
          <w:tcPr>
            <w:tcW w:w="1599" w:type="dxa"/>
            <w:shd w:val="clear" w:color="auto" w:fill="auto"/>
            <w:vAlign w:val="center"/>
          </w:tcPr>
          <w:p w:rsidR="00755EED" w:rsidRDefault="00755EED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NÚMERO DE DECLARANTES</w:t>
            </w:r>
          </w:p>
        </w:tc>
      </w:tr>
      <w:tr w:rsidR="00755EED">
        <w:trPr>
          <w:trHeight w:val="615"/>
        </w:trPr>
        <w:tc>
          <w:tcPr>
            <w:tcW w:w="1599" w:type="dxa"/>
            <w:shd w:val="clear" w:color="auto" w:fill="auto"/>
            <w:vAlign w:val="center"/>
          </w:tcPr>
          <w:p w:rsidR="00755EED" w:rsidRDefault="00755EED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Menor 25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25-34 años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35-44 años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45-54 años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55-64 años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65-74 años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755EED" w:rsidRDefault="00901E6A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 o más</w:t>
            </w:r>
          </w:p>
        </w:tc>
      </w:tr>
      <w:tr w:rsidR="00755EED">
        <w:trPr>
          <w:trHeight w:val="30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80,80 %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50,95 %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20,24 %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12,74 %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9,95 %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7,78 %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9,32 %</w:t>
            </w:r>
          </w:p>
        </w:tc>
      </w:tr>
      <w:tr w:rsidR="00755EED">
        <w:trPr>
          <w:trHeight w:val="300"/>
        </w:trPr>
        <w:tc>
          <w:tcPr>
            <w:tcW w:w="1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Iglesia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3,01 %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5,52 %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9,32 %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16,93 %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23,58 %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31,22 %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51,87 %</w:t>
            </w:r>
          </w:p>
        </w:tc>
      </w:tr>
      <w:tr w:rsidR="00755EED">
        <w:trPr>
          <w:trHeight w:val="300"/>
        </w:trPr>
        <w:tc>
          <w:tcPr>
            <w:tcW w:w="1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13,58 %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37,72 %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61,49 %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59,91 %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55,81 %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50,52 %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29,37 %</w:t>
            </w:r>
          </w:p>
        </w:tc>
      </w:tr>
      <w:tr w:rsidR="00755EED">
        <w:trPr>
          <w:trHeight w:val="315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Ambos</w:t>
            </w: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2,61 %</w:t>
            </w:r>
          </w:p>
        </w:tc>
        <w:tc>
          <w:tcPr>
            <w:tcW w:w="9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5,81 %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8,95 %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10,42 %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10,67 %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10,48 %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9,44 %</w:t>
            </w:r>
          </w:p>
        </w:tc>
      </w:tr>
      <w:tr w:rsidR="00755EED">
        <w:trPr>
          <w:trHeight w:val="315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49.986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63.134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83.714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102.501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87.212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65.308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EED" w:rsidRDefault="00901E6A">
            <w:pPr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66.271</w:t>
            </w:r>
          </w:p>
        </w:tc>
      </w:tr>
    </w:tbl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 w:rsidP="00901E6A">
      <w:pPr>
        <w:pStyle w:val="Prrafodelista"/>
        <w:spacing w:line="360" w:lineRule="auto"/>
        <w:ind w:left="108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Conforme a los datos expuestos en los cuadros anteriores podemos destacar:</w:t>
      </w:r>
    </w:p>
    <w:p w:rsidR="00755EED" w:rsidRDefault="00901E6A">
      <w:pPr>
        <w:pStyle w:val="Prrafodelista"/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Un incremento del porcentaje de personas que marcaron la casilla de fines </w:t>
      </w:r>
      <w:r>
        <w:rPr>
          <w:rFonts w:ascii="Tahoma" w:eastAsia="Calibri" w:hAnsi="Tahoma" w:cs="Tahoma"/>
          <w:sz w:val="22"/>
          <w:szCs w:val="22"/>
        </w:rPr>
        <w:t>sociales, llegando al 4</w:t>
      </w:r>
      <w:r>
        <w:rPr>
          <w:rFonts w:ascii="Tahoma" w:eastAsia="Calibri" w:hAnsi="Tahoma" w:cs="Tahoma"/>
          <w:sz w:val="22"/>
          <w:szCs w:val="22"/>
        </w:rPr>
        <w:t>7,20</w:t>
      </w:r>
      <w:r>
        <w:rPr>
          <w:rFonts w:ascii="Tahoma" w:eastAsia="Calibri" w:hAnsi="Tahoma" w:cs="Tahoma"/>
          <w:sz w:val="22"/>
          <w:szCs w:val="22"/>
        </w:rPr>
        <w:t>%</w:t>
      </w:r>
    </w:p>
    <w:p w:rsidR="00755EED" w:rsidRDefault="00901E6A">
      <w:pPr>
        <w:pStyle w:val="Prrafodelista"/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Las personas que han dejado en blanco la casilla han llegado al </w:t>
      </w:r>
      <w:r>
        <w:rPr>
          <w:rFonts w:ascii="Tahoma" w:eastAsia="Calibri" w:hAnsi="Tahoma" w:cs="Tahoma"/>
          <w:sz w:val="22"/>
          <w:szCs w:val="22"/>
        </w:rPr>
        <w:t>23.60</w:t>
      </w:r>
      <w:r>
        <w:rPr>
          <w:rFonts w:ascii="Tahoma" w:eastAsia="Calibri" w:hAnsi="Tahoma" w:cs="Tahoma"/>
          <w:sz w:val="22"/>
          <w:szCs w:val="22"/>
        </w:rPr>
        <w:t xml:space="preserve">% que, </w:t>
      </w:r>
      <w:r>
        <w:rPr>
          <w:rFonts w:ascii="Tahoma" w:eastAsia="Calibri" w:hAnsi="Tahoma" w:cs="Tahoma"/>
          <w:sz w:val="22"/>
          <w:szCs w:val="22"/>
        </w:rPr>
        <w:t>porcentaje que año a año sigue aumentando.</w:t>
      </w:r>
      <w:r>
        <w:rPr>
          <w:rFonts w:ascii="Tahoma" w:eastAsia="Calibri" w:hAnsi="Tahoma" w:cs="Tahoma"/>
          <w:sz w:val="22"/>
          <w:szCs w:val="22"/>
        </w:rPr>
        <w:t>.</w:t>
      </w:r>
    </w:p>
    <w:p w:rsidR="00755EED" w:rsidRDefault="00901E6A">
      <w:pPr>
        <w:pStyle w:val="Prrafodelista"/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Según los datos que ofrece </w:t>
      </w:r>
      <w:r>
        <w:rPr>
          <w:rFonts w:ascii="Tahoma" w:eastAsia="Calibri" w:hAnsi="Tahoma" w:cs="Tahoma"/>
          <w:sz w:val="22"/>
          <w:szCs w:val="22"/>
        </w:rPr>
        <w:t xml:space="preserve">Hacienda Navarra </w:t>
      </w:r>
      <w:r>
        <w:rPr>
          <w:rFonts w:ascii="Tahoma" w:eastAsia="Calibri" w:hAnsi="Tahoma" w:cs="Tahoma"/>
          <w:sz w:val="22"/>
          <w:szCs w:val="22"/>
        </w:rPr>
        <w:t>sobre la elección de la casilla por tramos de edad, más de la mitad de l</w:t>
      </w:r>
      <w:r>
        <w:rPr>
          <w:rFonts w:ascii="Tahoma" w:eastAsia="Calibri" w:hAnsi="Tahoma" w:cs="Tahoma"/>
          <w:sz w:val="22"/>
          <w:szCs w:val="22"/>
        </w:rPr>
        <w:t xml:space="preserve">as personas declarantes menores de 35 años dejan la casilla en blanco. 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lastRenderedPageBreak/>
        <w:t xml:space="preserve">Es importante analizar porqué más de </w:t>
      </w:r>
      <w:r>
        <w:rPr>
          <w:rFonts w:ascii="Tahoma" w:eastAsia="Calibri" w:hAnsi="Tahoma" w:cs="Tahoma"/>
          <w:sz w:val="22"/>
          <w:szCs w:val="22"/>
        </w:rPr>
        <w:t>122</w:t>
      </w:r>
      <w:r>
        <w:rPr>
          <w:rFonts w:ascii="Tahoma" w:eastAsia="Calibri" w:hAnsi="Tahoma" w:cs="Tahoma"/>
          <w:sz w:val="22"/>
          <w:szCs w:val="22"/>
        </w:rPr>
        <w:t>.000</w:t>
      </w:r>
      <w:r>
        <w:rPr>
          <w:rFonts w:ascii="Tahoma" w:eastAsia="Calibri" w:hAnsi="Tahoma" w:cs="Tahoma"/>
          <w:sz w:val="22"/>
          <w:szCs w:val="22"/>
        </w:rPr>
        <w:t xml:space="preserve"> personas siguen dejando la casilla en blanco, y nos preocupa que sea debido al desconocimiento de este derecho que tiene la ciudadanía sobre la responsabilidad de decidir dónde destinar el 0,7% de su contribución. 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Consideramos que es responsabilidad de </w:t>
      </w:r>
      <w:r>
        <w:rPr>
          <w:rFonts w:ascii="Tahoma" w:eastAsia="Calibri" w:hAnsi="Tahoma" w:cs="Tahoma"/>
          <w:sz w:val="22"/>
          <w:szCs w:val="22"/>
        </w:rPr>
        <w:t xml:space="preserve">todos los agentes sociales como entidades, pero también de la Administración Pública, informar a la ciudadanía y a las empresas y facilitar en la medida de lo posible los cauces para ejercer este derecho. 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Por ello, apelamos a que la administración comuni</w:t>
      </w:r>
      <w:r>
        <w:rPr>
          <w:rFonts w:ascii="Tahoma" w:eastAsia="Calibri" w:hAnsi="Tahoma" w:cs="Tahoma"/>
          <w:sz w:val="22"/>
          <w:szCs w:val="22"/>
        </w:rPr>
        <w:t xml:space="preserve">que sobre el destino y los proyectos concretos que se financian con esta contribución, tanto como ejercicio de transparencia, como por realizar una labor informativa, de sensibilización y concienciación. </w:t>
      </w:r>
    </w:p>
    <w:p w:rsidR="00755EED" w:rsidRDefault="00755EED">
      <w:p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 w:rsidP="00901E6A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55EED" w:rsidRPr="00901E6A" w:rsidRDefault="00901E6A" w:rsidP="00901E6A">
      <w:pPr>
        <w:pStyle w:val="Prrafodelista"/>
        <w:numPr>
          <w:ilvl w:val="0"/>
          <w:numId w:val="1"/>
        </w:numPr>
        <w:jc w:val="both"/>
        <w:rPr>
          <w:rFonts w:ascii="Tahoma" w:eastAsia="Calibri" w:hAnsi="Tahoma" w:cs="Tahoma"/>
          <w:b/>
          <w:sz w:val="22"/>
          <w:szCs w:val="22"/>
        </w:rPr>
      </w:pPr>
      <w:r w:rsidRPr="00901E6A">
        <w:rPr>
          <w:rFonts w:ascii="Tahoma" w:eastAsia="Calibri" w:hAnsi="Tahoma" w:cs="Tahoma"/>
          <w:b/>
          <w:sz w:val="22"/>
          <w:szCs w:val="22"/>
        </w:rPr>
        <w:t>MATERIALIZACIÓN EN LOS PRESUPUESTOS GENERALES DE NAVARRA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 xml:space="preserve">Con los datos obtenidos en la declaración de la renta, </w:t>
      </w:r>
      <w:r>
        <w:rPr>
          <w:rFonts w:ascii="Tahoma" w:eastAsia="Calibri" w:hAnsi="Tahoma" w:cs="Tahoma"/>
          <w:bCs/>
          <w:sz w:val="22"/>
          <w:szCs w:val="22"/>
        </w:rPr>
        <w:t>l</w:t>
      </w:r>
      <w:r>
        <w:rPr>
          <w:rFonts w:ascii="Tahoma" w:eastAsia="Calibri" w:hAnsi="Tahoma" w:cs="Tahoma"/>
          <w:bCs/>
          <w:sz w:val="22"/>
          <w:szCs w:val="22"/>
        </w:rPr>
        <w:t>a cifra a consignar en el Presupuesto de 202</w:t>
      </w:r>
      <w:r>
        <w:rPr>
          <w:rFonts w:ascii="Tahoma" w:eastAsia="Calibri" w:hAnsi="Tahoma" w:cs="Tahoma"/>
          <w:bCs/>
          <w:sz w:val="22"/>
          <w:szCs w:val="22"/>
        </w:rPr>
        <w:t>4</w:t>
      </w:r>
      <w:r>
        <w:rPr>
          <w:rFonts w:ascii="Tahoma" w:eastAsia="Calibri" w:hAnsi="Tahoma" w:cs="Tahoma"/>
          <w:bCs/>
          <w:sz w:val="22"/>
          <w:szCs w:val="22"/>
        </w:rPr>
        <w:t xml:space="preserve"> para otros fines de interés social asciende a </w:t>
      </w:r>
      <w:r>
        <w:rPr>
          <w:rFonts w:ascii="Tahoma" w:eastAsia="Calibri" w:hAnsi="Tahoma" w:cs="Tahoma"/>
          <w:bCs/>
          <w:sz w:val="22"/>
          <w:szCs w:val="22"/>
        </w:rPr>
        <w:t>12.065.383</w:t>
      </w:r>
      <w:r>
        <w:rPr>
          <w:rFonts w:ascii="Tahoma" w:eastAsia="Calibri" w:hAnsi="Tahoma" w:cs="Tahoma"/>
          <w:bCs/>
          <w:sz w:val="22"/>
          <w:szCs w:val="22"/>
        </w:rPr>
        <w:t xml:space="preserve"> euros. (1</w:t>
      </w:r>
      <w:r>
        <w:rPr>
          <w:rFonts w:ascii="Tahoma" w:eastAsia="Calibri" w:hAnsi="Tahoma" w:cs="Tahoma"/>
          <w:bCs/>
          <w:sz w:val="22"/>
          <w:szCs w:val="22"/>
        </w:rPr>
        <w:t>1.704.730</w:t>
      </w:r>
      <w:r>
        <w:rPr>
          <w:rFonts w:ascii="Tahoma" w:eastAsia="Calibri" w:hAnsi="Tahoma" w:cs="Tahoma"/>
          <w:bCs/>
          <w:sz w:val="22"/>
          <w:szCs w:val="22"/>
        </w:rPr>
        <w:t xml:space="preserve"> € IRPF, </w:t>
      </w:r>
      <w:r>
        <w:rPr>
          <w:rFonts w:ascii="Tahoma" w:eastAsia="Calibri" w:hAnsi="Tahoma" w:cs="Tahoma"/>
          <w:bCs/>
          <w:sz w:val="22"/>
          <w:szCs w:val="22"/>
        </w:rPr>
        <w:t>285.298</w:t>
      </w:r>
      <w:r>
        <w:rPr>
          <w:rFonts w:ascii="Tahoma" w:eastAsia="Calibri" w:hAnsi="Tahoma" w:cs="Tahoma"/>
          <w:bCs/>
          <w:sz w:val="22"/>
          <w:szCs w:val="22"/>
        </w:rPr>
        <w:t xml:space="preserve"> € Impuesto Sociedades</w:t>
      </w:r>
      <w:r>
        <w:rPr>
          <w:rFonts w:ascii="Tahoma" w:eastAsia="Calibri" w:hAnsi="Tahoma" w:cs="Tahoma"/>
          <w:bCs/>
          <w:sz w:val="22"/>
          <w:szCs w:val="22"/>
        </w:rPr>
        <w:t xml:space="preserve"> y </w:t>
      </w:r>
      <w:r>
        <w:rPr>
          <w:rFonts w:ascii="Tahoma" w:eastAsia="Calibri" w:hAnsi="Tahoma" w:cs="Tahoma"/>
          <w:bCs/>
          <w:sz w:val="22"/>
          <w:szCs w:val="22"/>
        </w:rPr>
        <w:t>75.356 € de liquidación de herencias a favor de la comunidad foral de Navarra</w:t>
      </w:r>
      <w:r>
        <w:rPr>
          <w:rStyle w:val="Ancladenotaalpie"/>
          <w:rFonts w:ascii="Tahoma" w:eastAsia="Calibri" w:hAnsi="Tahoma" w:cs="Tahoma"/>
          <w:bCs/>
          <w:sz w:val="22"/>
          <w:szCs w:val="22"/>
        </w:rPr>
        <w:footnoteReference w:id="1"/>
      </w:r>
      <w:r>
        <w:rPr>
          <w:rFonts w:ascii="Tahoma" w:eastAsia="Calibri" w:hAnsi="Tahoma" w:cs="Tahoma"/>
          <w:bCs/>
          <w:sz w:val="22"/>
          <w:szCs w:val="22"/>
        </w:rPr>
        <w:t>)</w:t>
      </w: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Así mismo, la recaudación se debe dividir en 5 grupos</w:t>
      </w:r>
      <w:r>
        <w:rPr>
          <w:rFonts w:ascii="Tahoma" w:eastAsia="Calibri" w:hAnsi="Tahoma" w:cs="Tahoma"/>
          <w:bCs/>
          <w:sz w:val="22"/>
          <w:szCs w:val="22"/>
        </w:rPr>
        <w:t>. El Gobierno de Navarra, en el año 2024, ha in</w:t>
      </w:r>
      <w:r>
        <w:rPr>
          <w:rFonts w:ascii="Tahoma" w:eastAsia="Calibri" w:hAnsi="Tahoma" w:cs="Tahoma"/>
          <w:bCs/>
          <w:sz w:val="22"/>
          <w:szCs w:val="22"/>
        </w:rPr>
        <w:t>cluido en sus presupuestos general</w:t>
      </w:r>
      <w:r>
        <w:rPr>
          <w:rFonts w:ascii="Tahoma" w:eastAsia="Calibri" w:hAnsi="Tahoma" w:cs="Tahoma"/>
          <w:bCs/>
          <w:sz w:val="22"/>
          <w:szCs w:val="22"/>
        </w:rPr>
        <w:t xml:space="preserve">es de Navarra 16 partidas presupeustarias ligadas a los cinco grupos. </w:t>
      </w:r>
      <w:r>
        <w:rPr>
          <w:rFonts w:ascii="Tahoma" w:eastAsia="Calibri" w:hAnsi="Tahoma" w:cs="Tahoma"/>
          <w:sz w:val="22"/>
          <w:szCs w:val="22"/>
        </w:rPr>
        <w:t>Estas partidas presupuestarias se materializan en convocatorias de subvención, regidas por la Ley Foral de Subvenciones.</w:t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400040" cy="36810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ED" w:rsidRDefault="00755EED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755EED" w:rsidRDefault="00901E6A">
      <w:pPr>
        <w:jc w:val="both"/>
        <w:rPr>
          <w:rFonts w:ascii="Tahoma" w:hAnsi="Tahoma" w:cs="Tahoma"/>
          <w:sz w:val="22"/>
          <w:szCs w:val="22"/>
          <w14:ligatures w14:val="standardContextual"/>
        </w:rPr>
      </w:pPr>
      <w:r>
        <w:rPr>
          <w:noProof/>
        </w:rPr>
        <w:lastRenderedPageBreak/>
        <w:drawing>
          <wp:inline distT="0" distB="0" distL="0" distR="0">
            <wp:extent cx="6172200" cy="3124835"/>
            <wp:effectExtent l="0" t="0" r="0" b="0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931" t="36788" r="23622" b="1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ED" w:rsidRDefault="00755EED">
      <w:pPr>
        <w:rPr>
          <w:rFonts w:ascii="Tahoma" w:hAnsi="Tahoma" w:cs="Tahoma"/>
          <w:sz w:val="22"/>
          <w:szCs w:val="22"/>
          <w14:ligatures w14:val="standardContextual"/>
        </w:rPr>
      </w:pPr>
    </w:p>
    <w:p w:rsidR="00755EED" w:rsidRPr="00901E6A" w:rsidRDefault="00901E6A" w:rsidP="00901E6A">
      <w:pPr>
        <w:pStyle w:val="Prrafodelista"/>
        <w:numPr>
          <w:ilvl w:val="0"/>
          <w:numId w:val="1"/>
        </w:numPr>
        <w:jc w:val="both"/>
        <w:rPr>
          <w:rFonts w:ascii="Tahoma" w:eastAsia="Calibri" w:hAnsi="Tahoma" w:cs="Tahoma"/>
          <w:b/>
          <w:sz w:val="22"/>
          <w:szCs w:val="22"/>
        </w:rPr>
      </w:pPr>
      <w:bookmarkStart w:id="0" w:name="_GoBack"/>
      <w:bookmarkEnd w:id="0"/>
      <w:r w:rsidRPr="00901E6A">
        <w:rPr>
          <w:rFonts w:ascii="Tahoma" w:eastAsia="Calibri" w:hAnsi="Tahoma" w:cs="Tahoma"/>
          <w:b/>
          <w:sz w:val="22"/>
          <w:szCs w:val="22"/>
        </w:rPr>
        <w:t xml:space="preserve">QUÉ TIENES QUE HACER </w:t>
      </w:r>
      <w:r w:rsidRPr="00901E6A">
        <w:rPr>
          <w:rFonts w:ascii="Tahoma" w:eastAsia="Calibri" w:hAnsi="Tahoma" w:cs="Tahoma"/>
          <w:b/>
          <w:sz w:val="22"/>
          <w:szCs w:val="22"/>
        </w:rPr>
        <w:t>SI QUIERES MODIFICAR TU OPCIÓN O MARCAR POR PRIMERA VEZ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La Campaña de la Declaración de la Renta sobre el Periodo Impositivo del año 202</w:t>
      </w:r>
      <w:r>
        <w:rPr>
          <w:rFonts w:ascii="Tahoma" w:eastAsia="Calibri" w:hAnsi="Tahoma" w:cs="Tahoma"/>
          <w:sz w:val="22"/>
          <w:szCs w:val="22"/>
        </w:rPr>
        <w:t>3</w:t>
      </w:r>
      <w:r>
        <w:rPr>
          <w:rFonts w:ascii="Tahoma" w:eastAsia="Calibri" w:hAnsi="Tahoma" w:cs="Tahoma"/>
          <w:sz w:val="22"/>
          <w:szCs w:val="22"/>
        </w:rPr>
        <w:t xml:space="preserve"> comenzó el pasado </w:t>
      </w:r>
      <w:r>
        <w:rPr>
          <w:rFonts w:ascii="Tahoma" w:eastAsia="Calibri" w:hAnsi="Tahoma" w:cs="Tahoma"/>
          <w:sz w:val="22"/>
          <w:szCs w:val="22"/>
        </w:rPr>
        <w:t>9</w:t>
      </w:r>
      <w:r>
        <w:rPr>
          <w:rFonts w:ascii="Tahoma" w:eastAsia="Calibri" w:hAnsi="Tahoma" w:cs="Tahoma"/>
          <w:sz w:val="22"/>
          <w:szCs w:val="22"/>
        </w:rPr>
        <w:t xml:space="preserve"> de abril y se prolongará hasta el 2</w:t>
      </w:r>
      <w:r>
        <w:rPr>
          <w:rFonts w:ascii="Tahoma" w:eastAsia="Calibri" w:hAnsi="Tahoma" w:cs="Tahoma"/>
          <w:sz w:val="22"/>
          <w:szCs w:val="22"/>
        </w:rPr>
        <w:t>7</w:t>
      </w:r>
      <w:r>
        <w:rPr>
          <w:rFonts w:ascii="Tahoma" w:eastAsia="Calibri" w:hAnsi="Tahoma" w:cs="Tahoma"/>
          <w:sz w:val="22"/>
          <w:szCs w:val="22"/>
        </w:rPr>
        <w:t xml:space="preserve"> de junio de 202</w:t>
      </w:r>
      <w:r>
        <w:rPr>
          <w:rFonts w:ascii="Tahoma" w:eastAsia="Calibri" w:hAnsi="Tahoma" w:cs="Tahoma"/>
          <w:sz w:val="22"/>
          <w:szCs w:val="22"/>
        </w:rPr>
        <w:t>4</w:t>
      </w:r>
      <w:r>
        <w:rPr>
          <w:rFonts w:ascii="Tahoma" w:eastAsia="Calibri" w:hAnsi="Tahoma" w:cs="Tahoma"/>
          <w:sz w:val="22"/>
          <w:szCs w:val="22"/>
        </w:rPr>
        <w:t>.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FECHAS Y TELÉFONOS</w:t>
      </w:r>
    </w:p>
    <w:p w:rsidR="00755EED" w:rsidRDefault="00901E6A">
      <w:pPr>
        <w:ind w:left="7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Se puede </w:t>
      </w:r>
      <w:r>
        <w:rPr>
          <w:rFonts w:ascii="Tahoma" w:eastAsia="Calibri" w:hAnsi="Tahoma" w:cs="Tahoma"/>
          <w:sz w:val="22"/>
          <w:szCs w:val="22"/>
        </w:rPr>
        <w:t>presentar la declaración de tres maneras: presencial, telefónica y online.</w:t>
      </w:r>
    </w:p>
    <w:p w:rsidR="00755EED" w:rsidRDefault="00901E6A">
      <w:pPr>
        <w:ind w:left="7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La campaña on line de 202</w:t>
      </w:r>
      <w:r>
        <w:rPr>
          <w:rFonts w:ascii="Tahoma" w:eastAsia="Calibri" w:hAnsi="Tahoma" w:cs="Tahoma"/>
          <w:sz w:val="22"/>
          <w:szCs w:val="22"/>
        </w:rPr>
        <w:t>3</w:t>
      </w:r>
      <w:r>
        <w:rPr>
          <w:rFonts w:ascii="Tahoma" w:eastAsia="Calibri" w:hAnsi="Tahoma" w:cs="Tahoma"/>
          <w:sz w:val="22"/>
          <w:szCs w:val="22"/>
        </w:rPr>
        <w:t xml:space="preserve"> en Navarra se inició el pasado </w:t>
      </w:r>
      <w:r>
        <w:rPr>
          <w:rFonts w:ascii="Tahoma" w:eastAsia="Calibri" w:hAnsi="Tahoma" w:cs="Tahoma"/>
          <w:sz w:val="22"/>
          <w:szCs w:val="22"/>
        </w:rPr>
        <w:t>9</w:t>
      </w:r>
      <w:r>
        <w:rPr>
          <w:rFonts w:ascii="Tahoma" w:eastAsia="Calibri" w:hAnsi="Tahoma" w:cs="Tahoma"/>
          <w:sz w:val="22"/>
          <w:szCs w:val="22"/>
        </w:rPr>
        <w:t xml:space="preserve"> de abril y para realizar la declaración de forma telefónica o presencial a partir del </w:t>
      </w:r>
      <w:r>
        <w:rPr>
          <w:rFonts w:ascii="Tahoma" w:eastAsia="Calibri" w:hAnsi="Tahoma" w:cs="Tahoma"/>
          <w:sz w:val="22"/>
          <w:szCs w:val="22"/>
        </w:rPr>
        <w:t>15</w:t>
      </w:r>
      <w:r>
        <w:rPr>
          <w:rFonts w:ascii="Tahoma" w:eastAsia="Calibri" w:hAnsi="Tahoma" w:cs="Tahoma"/>
          <w:sz w:val="22"/>
          <w:szCs w:val="22"/>
        </w:rPr>
        <w:t xml:space="preserve"> de abril.</w:t>
      </w:r>
    </w:p>
    <w:p w:rsidR="00755EED" w:rsidRDefault="00755EED">
      <w:pPr>
        <w:ind w:left="708"/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ind w:left="7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Para las </w:t>
      </w:r>
      <w:r>
        <w:rPr>
          <w:rFonts w:ascii="Tahoma" w:eastAsia="Calibri" w:hAnsi="Tahoma" w:cs="Tahoma"/>
          <w:sz w:val="22"/>
          <w:szCs w:val="22"/>
        </w:rPr>
        <w:t>personas que desean modificar la asignación tributaria (también si no hay ninguna casilla marcada) de su declaración el plazo es hasta el 5 de julio. La tramitación se puede realizar de las siguientes formas:</w:t>
      </w:r>
    </w:p>
    <w:p w:rsidR="00755EED" w:rsidRDefault="00755EED">
      <w:pPr>
        <w:ind w:left="708"/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ind w:left="1416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• Modalidad presencial y telefónica: Solicitán</w:t>
      </w:r>
      <w:r>
        <w:rPr>
          <w:rFonts w:ascii="Tahoma" w:eastAsia="Calibri" w:hAnsi="Tahoma" w:cs="Tahoma"/>
          <w:sz w:val="22"/>
          <w:szCs w:val="22"/>
        </w:rPr>
        <w:t>dolo al personal técnico de Hacienda que atiende al contribuyente para la elaboración de la Declaración.</w:t>
      </w:r>
    </w:p>
    <w:p w:rsidR="00755EED" w:rsidRDefault="00901E6A">
      <w:pPr>
        <w:ind w:left="1416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• Por teléfono: Llamando al </w:t>
      </w:r>
      <w:r>
        <w:rPr>
          <w:rFonts w:ascii="Tahoma" w:eastAsia="Calibri" w:hAnsi="Tahoma" w:cs="Tahoma"/>
          <w:b/>
          <w:bCs/>
          <w:sz w:val="22"/>
          <w:szCs w:val="22"/>
        </w:rPr>
        <w:t>948 106 106.</w:t>
      </w:r>
    </w:p>
    <w:p w:rsidR="00755EED" w:rsidRDefault="00901E6A">
      <w:pPr>
        <w:ind w:left="1416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• Web: (Con tu DNI y PIN, certificado electrónico o Cl@ve) Se puede realizar la modificación de la asignación </w:t>
      </w:r>
      <w:r>
        <w:rPr>
          <w:rFonts w:ascii="Tahoma" w:eastAsia="Calibri" w:hAnsi="Tahoma" w:cs="Tahoma"/>
          <w:sz w:val="22"/>
          <w:szCs w:val="22"/>
        </w:rPr>
        <w:t xml:space="preserve">tributaria de manera autónoma en el siguiente enlace:  </w:t>
      </w:r>
      <w:hyperlink r:id="rId12">
        <w:r>
          <w:rPr>
            <w:rStyle w:val="EnlacedeInternet"/>
            <w:rFonts w:ascii="Tahoma" w:eastAsia="Calibri" w:hAnsi="Tahoma" w:cs="Tahoma"/>
            <w:sz w:val="22"/>
            <w:szCs w:val="22"/>
          </w:rPr>
          <w:t>https://www.navarra.es/es/tramites/on/-/line/Modificacion-de-la-asignaci</w:t>
        </w:r>
        <w:r>
          <w:rPr>
            <w:rStyle w:val="EnlacedeInternet"/>
            <w:rFonts w:ascii="Tahoma" w:eastAsia="Calibri" w:hAnsi="Tahoma" w:cs="Tahoma"/>
            <w:sz w:val="22"/>
            <w:szCs w:val="22"/>
          </w:rPr>
          <w:t>on-tributaria-0-7-para-fines-sociales</w:t>
        </w:r>
      </w:hyperlink>
      <w:r>
        <w:rPr>
          <w:rFonts w:ascii="Tahoma" w:eastAsia="Calibri" w:hAnsi="Tahoma" w:cs="Tahoma"/>
          <w:sz w:val="22"/>
          <w:szCs w:val="22"/>
        </w:rPr>
        <w:t xml:space="preserve"> </w:t>
      </w:r>
    </w:p>
    <w:p w:rsidR="00755EED" w:rsidRDefault="00755EED">
      <w:pPr>
        <w:ind w:left="708"/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En el caso del 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impuesto de sociedades </w:t>
      </w:r>
      <w:r>
        <w:rPr>
          <w:rFonts w:ascii="Tahoma" w:eastAsia="Calibri" w:hAnsi="Tahoma" w:cs="Tahoma"/>
          <w:sz w:val="22"/>
          <w:szCs w:val="22"/>
        </w:rPr>
        <w:t>es necesario marcarlo en la casilla correspondiente a la hora de tramitar dicho impuesto.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Entendemos que la política fiscal constituye una de las herramientas de mayor impa</w:t>
      </w:r>
      <w:r>
        <w:rPr>
          <w:rFonts w:ascii="Tahoma" w:eastAsia="Calibri" w:hAnsi="Tahoma" w:cs="Tahoma"/>
          <w:sz w:val="22"/>
          <w:szCs w:val="22"/>
        </w:rPr>
        <w:t xml:space="preserve">cto en política económica y social, y que tiene repercusiones directas y sustantivas en las vidas de las personas. 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lastRenderedPageBreak/>
        <w:t xml:space="preserve">Una política fiscal justa y redistributiva es el mejor instrumento para favorecer el bienestar de las personas ya que puede preservar los </w:t>
      </w:r>
      <w:r>
        <w:rPr>
          <w:rFonts w:ascii="Tahoma" w:eastAsia="Calibri" w:hAnsi="Tahoma" w:cs="Tahoma"/>
          <w:sz w:val="22"/>
          <w:szCs w:val="22"/>
        </w:rPr>
        <w:t>servicios públicos básicos (educación, sanidad, servicios sociales…), abaratar el acceso a bienes y servicios de primera necesidad y garantizar un nivel adecuado de protección social.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901E6A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Nuestras peticiones siguen siendo las mismas:</w:t>
      </w:r>
    </w:p>
    <w:p w:rsidR="00755EED" w:rsidRDefault="00901E6A">
      <w:pPr>
        <w:pStyle w:val="Prrafodelista"/>
        <w:numPr>
          <w:ilvl w:val="0"/>
          <w:numId w:val="3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Luchar contra el fraude, </w:t>
      </w:r>
      <w:r>
        <w:rPr>
          <w:rFonts w:ascii="Tahoma" w:eastAsia="Calibri" w:hAnsi="Tahoma" w:cs="Tahoma"/>
          <w:sz w:val="22"/>
          <w:szCs w:val="22"/>
        </w:rPr>
        <w:t>la evasión y la elusión fiscal dotando de medios y personal a las instituciones encargadas de ello.</w:t>
      </w:r>
    </w:p>
    <w:p w:rsidR="00755EED" w:rsidRDefault="00901E6A">
      <w:pPr>
        <w:pStyle w:val="Prrafodelista"/>
        <w:numPr>
          <w:ilvl w:val="0"/>
          <w:numId w:val="3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Reformar el sistema impositivo de tal manera que la mayor recaudación y el mayor esfuerzo fiscal no recaiga mayoritariamente sobre la economía real, y por t</w:t>
      </w:r>
      <w:r>
        <w:rPr>
          <w:rFonts w:ascii="Tahoma" w:eastAsia="Calibri" w:hAnsi="Tahoma" w:cs="Tahoma"/>
          <w:sz w:val="22"/>
          <w:szCs w:val="22"/>
        </w:rPr>
        <w:t>anto sobre la ciudadanía mediante nuestras rentas del trabajo y nuestro consumo, sino que se incremente la presión fiscal efectiva (no sólo nominalmente) sobre los rendimientos y los actores de la economía financiera que por ser meramente especulativa no g</w:t>
      </w:r>
      <w:r>
        <w:rPr>
          <w:rFonts w:ascii="Tahoma" w:eastAsia="Calibri" w:hAnsi="Tahoma" w:cs="Tahoma"/>
          <w:sz w:val="22"/>
          <w:szCs w:val="22"/>
        </w:rPr>
        <w:t>enera riqueza social mediante la inversión productiva y la generación de empleo.</w:t>
      </w:r>
    </w:p>
    <w:p w:rsidR="00755EED" w:rsidRDefault="00901E6A">
      <w:pPr>
        <w:pStyle w:val="Prrafodelista"/>
        <w:numPr>
          <w:ilvl w:val="0"/>
          <w:numId w:val="3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Reclamamos un sistema tributario que genere igualdad, equidad y justicia social.</w:t>
      </w:r>
    </w:p>
    <w:p w:rsidR="00755EED" w:rsidRDefault="00901E6A">
      <w:pPr>
        <w:pStyle w:val="Prrafodelista"/>
        <w:numPr>
          <w:ilvl w:val="0"/>
          <w:numId w:val="3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Exigimos un tratamiento igual al del Estado, ya que cuando los y las contribuyentes optan por </w:t>
      </w:r>
      <w:r>
        <w:rPr>
          <w:rFonts w:ascii="Tahoma" w:eastAsia="Calibri" w:hAnsi="Tahoma" w:cs="Tahoma"/>
          <w:sz w:val="22"/>
          <w:szCs w:val="22"/>
        </w:rPr>
        <w:t>las dos opciones, cosa que es posible, la Hacienda Tributaria de Navarra divide el 0,7% entre las dos opciones, destinando a cada una de ellas un 0,35%, mientras que en el Estado se asigna un 0.7% a cada una de las casillas (es decir un 1,4% total), lo que</w:t>
      </w:r>
      <w:r>
        <w:rPr>
          <w:rFonts w:ascii="Tahoma" w:eastAsia="Calibri" w:hAnsi="Tahoma" w:cs="Tahoma"/>
          <w:sz w:val="22"/>
          <w:szCs w:val="22"/>
        </w:rPr>
        <w:t xml:space="preserve"> coloca a la ciudadanía navarra en desventaja con respecto a la del Estado.</w:t>
      </w:r>
    </w:p>
    <w:p w:rsidR="00755EED" w:rsidRDefault="00901E6A">
      <w:pPr>
        <w:pStyle w:val="Prrafodelista"/>
        <w:numPr>
          <w:ilvl w:val="0"/>
          <w:numId w:val="3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El posicionamiento sobre la regulación en la distribución de los porcentajes de la casilla Fines Sociales, es que no se modifiquen y se respeten según lo ratificado en la Ley 7/200</w:t>
      </w:r>
      <w:r>
        <w:rPr>
          <w:rFonts w:ascii="Tahoma" w:eastAsia="Calibri" w:hAnsi="Tahoma" w:cs="Tahoma"/>
          <w:sz w:val="22"/>
          <w:szCs w:val="22"/>
        </w:rPr>
        <w:t>9.</w:t>
      </w: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p w:rsidR="00755EED" w:rsidRDefault="00755EED">
      <w:pPr>
        <w:jc w:val="both"/>
        <w:rPr>
          <w:rFonts w:ascii="Tahoma" w:eastAsia="Calibri" w:hAnsi="Tahoma" w:cs="Tahoma"/>
          <w:sz w:val="22"/>
          <w:szCs w:val="22"/>
        </w:rPr>
      </w:pPr>
    </w:p>
    <w:sectPr w:rsidR="00755EED">
      <w:footerReference w:type="default" r:id="rId13"/>
      <w:pgSz w:w="11906" w:h="16838"/>
      <w:pgMar w:top="709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1E6A">
      <w:r>
        <w:separator/>
      </w:r>
    </w:p>
  </w:endnote>
  <w:endnote w:type="continuationSeparator" w:id="0">
    <w:p w:rsidR="00000000" w:rsidRDefault="0090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ED" w:rsidRDefault="00901E6A">
    <w:pPr>
      <w:pStyle w:val="Piedepgina"/>
    </w:pPr>
    <w:r>
      <w:rPr>
        <w:noProof/>
      </w:rPr>
      <w:drawing>
        <wp:inline distT="0" distB="0" distL="0" distR="0">
          <wp:extent cx="5224780" cy="883920"/>
          <wp:effectExtent l="0" t="0" r="0" b="0"/>
          <wp:docPr id="5" name="Imagen 1716543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7165433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5EED" w:rsidRDefault="00755E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ED" w:rsidRDefault="00901E6A">
      <w:pPr>
        <w:rPr>
          <w:sz w:val="12"/>
        </w:rPr>
      </w:pPr>
      <w:r>
        <w:separator/>
      </w:r>
    </w:p>
  </w:footnote>
  <w:footnote w:type="continuationSeparator" w:id="0">
    <w:p w:rsidR="00755EED" w:rsidRDefault="00901E6A">
      <w:pPr>
        <w:rPr>
          <w:sz w:val="12"/>
        </w:rPr>
      </w:pPr>
      <w:r>
        <w:continuationSeparator/>
      </w:r>
    </w:p>
  </w:footnote>
  <w:footnote w:id="1">
    <w:p w:rsidR="00755EED" w:rsidRDefault="00901E6A">
      <w:pPr>
        <w:pStyle w:val="Textonotapie"/>
      </w:pPr>
      <w:r>
        <w:rPr>
          <w:rStyle w:val="Caracteresdenotaalpie"/>
        </w:rPr>
        <w:footnoteRef/>
      </w:r>
      <w:r>
        <w:t xml:space="preserve"> Datos extraídos según la</w:t>
      </w:r>
      <w:r>
        <w:t xml:space="preserve"> Memoria de los Presupuestos Generales de Navarra 2024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40C"/>
    <w:multiLevelType w:val="multilevel"/>
    <w:tmpl w:val="EE8E40E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C4AB4"/>
    <w:multiLevelType w:val="multilevel"/>
    <w:tmpl w:val="49F6DD1C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4A54B6"/>
    <w:multiLevelType w:val="multilevel"/>
    <w:tmpl w:val="10E0B9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81CA1"/>
    <w:multiLevelType w:val="multilevel"/>
    <w:tmpl w:val="ECDA2B54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9F773A6"/>
    <w:multiLevelType w:val="multilevel"/>
    <w:tmpl w:val="E46A45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FE1393"/>
    <w:multiLevelType w:val="multilevel"/>
    <w:tmpl w:val="4D8C50B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2305BF"/>
    <w:multiLevelType w:val="multilevel"/>
    <w:tmpl w:val="1E0AA57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A75133F"/>
    <w:multiLevelType w:val="multilevel"/>
    <w:tmpl w:val="3AF2C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D"/>
    <w:rsid w:val="00755EED"/>
    <w:rsid w:val="009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BDD"/>
  <w15:docId w15:val="{22F9435A-D011-4B1E-AA60-D2BCF6A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046C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046C48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24D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24D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C115E1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Caracteresdenotaalpie">
    <w:name w:val="Caracteres de nota al pie"/>
    <w:basedOn w:val="Fuentedeprrafopredeter"/>
    <w:uiPriority w:val="99"/>
    <w:semiHidden/>
    <w:unhideWhenUsed/>
    <w:qFormat/>
    <w:rsid w:val="00C115E1"/>
    <w:rPr>
      <w:vertAlign w:val="superscript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57862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D52A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D52A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D52A6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customStyle="1" w:styleId="Numeracinderenglones">
    <w:name w:val="Numeración de renglones"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Prrafodelista">
    <w:name w:val="List Paragraph"/>
    <w:basedOn w:val="Normal"/>
    <w:uiPriority w:val="34"/>
    <w:qFormat/>
    <w:rsid w:val="00916FC8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324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324D5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115E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5786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D52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D52A6"/>
    <w:rPr>
      <w:b/>
      <w:bCs/>
    </w:rPr>
  </w:style>
  <w:style w:type="table" w:styleId="Cuadrculaclara-nfasis6">
    <w:name w:val="Light Grid Accent 6"/>
    <w:basedOn w:val="Tablanormal"/>
    <w:uiPriority w:val="62"/>
    <w:rsid w:val="008C55F9"/>
    <w:rPr>
      <w:sz w:val="24"/>
      <w:szCs w:val="24"/>
      <w:lang w:eastAsia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varra.es/es/tramites/on/-/line/Modificacion-de-la-asignacion-tributaria-0-7-para-fines-soci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Serie1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6082CA"/>
                  </a:gs>
                  <a:gs pos="100000">
                    <a:srgbClr val="3D6FC9"/>
                  </a:gs>
                </a:gsLst>
                <a:lin ang="54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1-9D6C-45DB-8E16-1989A75423E9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F08C56"/>
                  </a:gs>
                  <a:gs pos="100000">
                    <a:srgbClr val="F57A27"/>
                  </a:gs>
                </a:gsLst>
                <a:lin ang="54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3-9D6C-45DB-8E16-1989A75423E9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AEAEAE"/>
                  </a:gs>
                  <a:gs pos="100000">
                    <a:srgbClr val="A4A4A4"/>
                  </a:gs>
                </a:gsLst>
                <a:lin ang="54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5-9D6C-45DB-8E16-1989A75423E9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FFC54B"/>
                  </a:gs>
                  <a:gs pos="100000">
                    <a:srgbClr val="FFBF00"/>
                  </a:gs>
                </a:gsLst>
                <a:lin ang="54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7-9D6C-45DB-8E16-1989A75423E9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71A6DA"/>
                  </a:gs>
                  <a:gs pos="100000">
                    <a:srgbClr val="549ADA"/>
                  </a:gs>
                </a:gsLst>
                <a:lin ang="54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9-9D6C-45DB-8E16-1989A75423E9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80B761"/>
                  </a:gs>
                  <a:gs pos="100000">
                    <a:srgbClr val="6FB142"/>
                  </a:gs>
                </a:gsLst>
                <a:lin ang="54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B-9D6C-45DB-8E16-1989A75423E9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1-9D6C-45DB-8E16-1989A75423E9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3-9D6C-45DB-8E16-1989A75423E9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5-9D6C-45DB-8E16-1989A75423E9}"/>
                </c:ext>
              </c:extLst>
            </c:dLbl>
            <c:dLbl>
              <c:idx val="3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7-9D6C-45DB-8E16-1989A75423E9}"/>
                </c:ext>
              </c:extLst>
            </c:dLbl>
            <c:dLbl>
              <c:idx val="4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9-9D6C-45DB-8E16-1989A75423E9}"/>
                </c:ext>
              </c:extLst>
            </c:dLbl>
            <c:dLbl>
              <c:idx val="5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B-9D6C-45DB-8E16-1989A75423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1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6"/>
                <c:pt idx="0">
                  <c:v>Ninguna opción (EN BLANCO)</c:v>
                </c:pt>
                <c:pt idx="1">
                  <c:v>Iglesia católica</c:v>
                </c:pt>
                <c:pt idx="3">
                  <c:v>FINES SOCIALES</c:v>
                </c:pt>
                <c:pt idx="5">
                  <c:v>Iglesia católica y fines sociales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0.23599999999999999</c:v>
                </c:pt>
                <c:pt idx="1">
                  <c:v>0.20300000000000001</c:v>
                </c:pt>
                <c:pt idx="3">
                  <c:v>0.47199999999999998</c:v>
                </c:pt>
                <c:pt idx="5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6C-45DB-8E16-1989A7542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81CA-AB90-4D02-A1BD-E024F22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9178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dc:description/>
  <cp:lastModifiedBy>T450</cp:lastModifiedBy>
  <cp:revision>2</cp:revision>
  <dcterms:created xsi:type="dcterms:W3CDTF">2024-04-09T12:27:00Z</dcterms:created>
  <dcterms:modified xsi:type="dcterms:W3CDTF">2024-04-09T12:27:00Z</dcterms:modified>
  <dc:language>es-ES</dc:language>
</cp:coreProperties>
</file>